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0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2268"/>
        <w:gridCol w:w="850"/>
        <w:gridCol w:w="5301"/>
        <w:gridCol w:w="1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4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序号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评审内容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分值</w:t>
            </w:r>
          </w:p>
        </w:tc>
        <w:tc>
          <w:tcPr>
            <w:tcW w:w="5301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评分标准</w:t>
            </w:r>
          </w:p>
        </w:tc>
        <w:tc>
          <w:tcPr>
            <w:tcW w:w="1009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实得分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654" w:type="dxa"/>
            <w:vMerge w:val="restart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评级方案及后续服务方案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0分</w:t>
            </w:r>
          </w:p>
        </w:tc>
        <w:tc>
          <w:tcPr>
            <w:tcW w:w="5301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评级方案设计合理、工作步骤明确，现场访谈计划清晰，服务效果及后续服务满足公司要求。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30～40分</w:t>
            </w:r>
          </w:p>
        </w:tc>
        <w:tc>
          <w:tcPr>
            <w:tcW w:w="1009" w:type="dxa"/>
            <w:vMerge w:val="restart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0-40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654" w:type="dxa"/>
            <w:vMerge w:val="continue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5301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评级方案和后续服务基本满足公司要求。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15～30分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atLeast"/>
          <w:jc w:val="center"/>
        </w:trPr>
        <w:tc>
          <w:tcPr>
            <w:tcW w:w="654" w:type="dxa"/>
            <w:vMerge w:val="continue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5301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CN"/>
              </w:rPr>
              <w:t>评级方案及后续服务出现明显漏洞及较大不可行性。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0～15分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9" w:hRule="atLeast"/>
          <w:jc w:val="center"/>
        </w:trPr>
        <w:tc>
          <w:tcPr>
            <w:tcW w:w="654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评级费用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  <w:t>30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分</w:t>
            </w:r>
          </w:p>
        </w:tc>
        <w:tc>
          <w:tcPr>
            <w:tcW w:w="5301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（1）基准价：以所有有效比选申请人比选报价的平均值为基准价。</w:t>
            </w:r>
          </w:p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（2）价格分： </w:t>
            </w:r>
          </w:p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①比选申请人的比选价等于基准价的，价格分得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30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分。</w:t>
            </w:r>
            <w:bookmarkStart w:id="0" w:name="_GoBack"/>
            <w:bookmarkEnd w:id="0"/>
          </w:p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②比选申请人的比选价低于基准价的，以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30分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为基本分，每低1%的扣0.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分。</w:t>
            </w:r>
          </w:p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③比选申请人的比选价高于基准价的，以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30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分为基本分，每高1%的扣0.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</w:t>
            </w:r>
          </w:p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（不足1%的，按照1%计算，直至扣完为止）。</w:t>
            </w:r>
          </w:p>
        </w:tc>
        <w:tc>
          <w:tcPr>
            <w:tcW w:w="1009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0-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  <w:jc w:val="center"/>
        </w:trPr>
        <w:tc>
          <w:tcPr>
            <w:tcW w:w="654" w:type="dxa"/>
            <w:vMerge w:val="restart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机构排名情况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30分</w:t>
            </w:r>
          </w:p>
        </w:tc>
        <w:tc>
          <w:tcPr>
            <w:tcW w:w="5301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1.投标人在中国银行间市场交易商协会、中国证协联合公布2019年信用评级机构市场化评价结果（【2020】2号、交易所市场排名）的名单进行排名（排名第一计10分，每低一名减2分，以此类推）。</w:t>
            </w:r>
          </w:p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注：须提供相应的纸质证明材料。</w:t>
            </w:r>
          </w:p>
        </w:tc>
        <w:tc>
          <w:tcPr>
            <w:tcW w:w="1009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654" w:type="dxa"/>
            <w:vMerge w:val="continue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5301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2.根据国家发改委办公厅公布2020年度企业债券信用评级机构信用评级结果名单进行排名（排名第一计10分，每低一名减2分，以此类推）。</w:t>
            </w:r>
          </w:p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注：须提供相应的纸质证明材料。</w:t>
            </w:r>
          </w:p>
        </w:tc>
        <w:tc>
          <w:tcPr>
            <w:tcW w:w="1009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654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三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合计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100分</w:t>
            </w:r>
          </w:p>
        </w:tc>
        <w:tc>
          <w:tcPr>
            <w:tcW w:w="5301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09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zY2FmOTY3MWJmM2UyNmY4OWI5ZDEzODIzMWQ0YWEifQ=="/>
  </w:docVars>
  <w:rsids>
    <w:rsidRoot w:val="5ABD2B03"/>
    <w:rsid w:val="5ABD2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200" w:firstLineChars="200"/>
      <w:jc w:val="both"/>
    </w:pPr>
    <w:rPr>
      <w:rFonts w:eastAsia="方正仿宋_GBK" w:asciiTheme="minorHAnsi" w:hAnsiTheme="minorHAnsi" w:cstheme="minorBidi"/>
      <w:kern w:val="2"/>
      <w:sz w:val="28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1"/>
    <w:next w:val="3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471</Words>
  <Characters>517</Characters>
  <Lines>0</Lines>
  <Paragraphs>0</Paragraphs>
  <TotalTime>4</TotalTime>
  <ScaleCrop>false</ScaleCrop>
  <LinksUpToDate>false</LinksUpToDate>
  <CharactersWithSpaces>518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2022-06-13T02:25:00Z</dcterms:created>
  <dc:creator>Administrator</dc:creator>
  <cp:lastModifiedBy>Administrator</cp:lastModifiedBy>
  <dcterms:modified xsi:type="dcterms:W3CDTF">2022-06-13T02:29:28Z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2044FD351B2A425095C2F655ABB33AEC</vt:lpwstr>
  </property>
</Properties>
</file>