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after="240" w:line="160" w:lineRule="atLeast"/>
        <w:jc w:val="center"/>
        <w:rPr>
          <w:rFonts w:hAnsi="宋体"/>
          <w:sz w:val="24"/>
        </w:rPr>
      </w:pPr>
      <w:bookmarkStart w:id="3" w:name="_GoBack"/>
      <w:bookmarkEnd w:id="3"/>
      <w:r>
        <w:rPr>
          <w:rFonts w:hint="eastAsia" w:ascii="宋体"/>
          <w:sz w:val="36"/>
        </w:rPr>
        <w:t>第九章 评审方法</w:t>
      </w:r>
      <w:bookmarkStart w:id="0" w:name="_Toc29852"/>
    </w:p>
    <w:bookmarkEnd w:id="0"/>
    <w:p>
      <w:pPr>
        <w:pStyle w:val="4"/>
        <w:spacing w:after="120" w:line="415" w:lineRule="auto"/>
        <w:rPr>
          <w:rFonts w:ascii="宋体" w:hAnsi="宋体" w:eastAsia="宋体"/>
          <w:sz w:val="24"/>
        </w:rPr>
      </w:pPr>
      <w:r>
        <w:rPr>
          <w:rFonts w:hint="eastAsia" w:ascii="宋体" w:hAnsi="宋体" w:eastAsia="宋体"/>
          <w:sz w:val="24"/>
        </w:rPr>
        <w:t>1</w:t>
      </w:r>
      <w:r>
        <w:rPr>
          <w:rFonts w:ascii="宋体" w:hAnsi="宋体" w:eastAsia="宋体"/>
          <w:sz w:val="24"/>
        </w:rPr>
        <w:t>.</w:t>
      </w:r>
      <w:r>
        <w:rPr>
          <w:rFonts w:hint="eastAsia" w:ascii="宋体" w:hAnsi="宋体" w:eastAsia="宋体"/>
          <w:sz w:val="24"/>
        </w:rPr>
        <w:t>总则</w:t>
      </w:r>
    </w:p>
    <w:p>
      <w:pPr>
        <w:ind w:firstLine="470" w:firstLineChars="196"/>
        <w:contextualSpacing/>
        <w:rPr>
          <w:sz w:val="24"/>
          <w:szCs w:val="24"/>
        </w:rPr>
      </w:pPr>
      <w:r>
        <w:rPr>
          <w:sz w:val="24"/>
          <w:szCs w:val="24"/>
        </w:rPr>
        <w:t>1.1本次评审活动遵循公平、公正、科学、择优的原则。</w:t>
      </w:r>
    </w:p>
    <w:p>
      <w:pPr>
        <w:ind w:firstLine="470" w:firstLineChars="196"/>
        <w:contextualSpacing/>
        <w:rPr>
          <w:sz w:val="24"/>
          <w:szCs w:val="24"/>
        </w:rPr>
      </w:pPr>
      <w:r>
        <w:rPr>
          <w:sz w:val="24"/>
          <w:szCs w:val="24"/>
        </w:rPr>
        <w:t>1.2</w:t>
      </w:r>
      <w:r>
        <w:rPr>
          <w:rFonts w:hint="eastAsia"/>
          <w:sz w:val="24"/>
          <w:szCs w:val="24"/>
        </w:rPr>
        <w:t>在比选申请文件递交截止时间前递交的比选申请文件，公布比选申请人名称、报价及其他内容，并记录在案后交由比选评审小组进行评审。在本文件规定的提交截止时间后提交的比选申请文件，比选人将拒绝接收</w:t>
      </w:r>
      <w:r>
        <w:rPr>
          <w:sz w:val="24"/>
          <w:szCs w:val="24"/>
        </w:rPr>
        <w:t>。</w:t>
      </w:r>
    </w:p>
    <w:p>
      <w:pPr>
        <w:ind w:firstLine="470" w:firstLineChars="196"/>
        <w:rPr>
          <w:rFonts w:cs="Arial"/>
          <w:sz w:val="24"/>
          <w:szCs w:val="24"/>
        </w:rPr>
      </w:pPr>
      <w:r>
        <w:rPr>
          <w:rFonts w:hint="eastAsia" w:cs="Arial"/>
          <w:sz w:val="24"/>
          <w:szCs w:val="24"/>
        </w:rPr>
        <w:t>1.3评审</w:t>
      </w:r>
      <w:r>
        <w:rPr>
          <w:rFonts w:cs="Arial"/>
          <w:sz w:val="24"/>
          <w:szCs w:val="24"/>
        </w:rPr>
        <w:t>方法：综合评</w:t>
      </w:r>
      <w:r>
        <w:rPr>
          <w:rFonts w:hint="eastAsia" w:cs="Arial"/>
          <w:sz w:val="24"/>
          <w:szCs w:val="24"/>
        </w:rPr>
        <w:t>分</w:t>
      </w:r>
      <w:r>
        <w:rPr>
          <w:rFonts w:cs="Arial"/>
          <w:sz w:val="24"/>
          <w:szCs w:val="24"/>
        </w:rPr>
        <w:t>法。</w:t>
      </w:r>
    </w:p>
    <w:p>
      <w:pPr>
        <w:ind w:firstLine="470" w:firstLineChars="196"/>
        <w:rPr>
          <w:rFonts w:cs="Arial"/>
          <w:sz w:val="24"/>
          <w:szCs w:val="24"/>
        </w:rPr>
      </w:pPr>
      <w:r>
        <w:rPr>
          <w:rFonts w:hint="eastAsia" w:cs="Arial"/>
          <w:sz w:val="24"/>
          <w:szCs w:val="24"/>
        </w:rPr>
        <w:t>1.</w:t>
      </w:r>
      <w:r>
        <w:rPr>
          <w:rFonts w:cs="Arial"/>
          <w:sz w:val="24"/>
          <w:szCs w:val="24"/>
        </w:rPr>
        <w:t>4</w:t>
      </w:r>
      <w:r>
        <w:rPr>
          <w:sz w:val="24"/>
          <w:szCs w:val="24"/>
        </w:rPr>
        <w:t>比选评审小组</w:t>
      </w:r>
    </w:p>
    <w:p>
      <w:pPr>
        <w:ind w:firstLine="540" w:firstLineChars="225"/>
        <w:contextualSpacing/>
        <w:rPr>
          <w:sz w:val="24"/>
          <w:szCs w:val="24"/>
        </w:rPr>
      </w:pPr>
      <w:r>
        <w:rPr>
          <w:sz w:val="24"/>
          <w:szCs w:val="24"/>
        </w:rPr>
        <w:t>1.4.1本项目的比选评审小组由比选人按照相关规定组建。</w:t>
      </w:r>
    </w:p>
    <w:p>
      <w:pPr>
        <w:ind w:firstLine="540" w:firstLineChars="225"/>
        <w:contextualSpacing/>
        <w:rPr>
          <w:sz w:val="24"/>
          <w:szCs w:val="24"/>
        </w:rPr>
      </w:pPr>
      <w:r>
        <w:rPr>
          <w:sz w:val="24"/>
          <w:szCs w:val="24"/>
        </w:rPr>
        <w:t>1.4.2比选评审小组成员应当客观、公正地履行职责，遵守职业道德，对所提出的评审意见承担个人责任。</w:t>
      </w:r>
    </w:p>
    <w:p>
      <w:pPr>
        <w:ind w:firstLine="470" w:firstLineChars="196"/>
        <w:rPr>
          <w:rFonts w:cs="Arial"/>
          <w:sz w:val="24"/>
          <w:szCs w:val="24"/>
        </w:rPr>
      </w:pPr>
      <w:r>
        <w:rPr>
          <w:rFonts w:cs="Arial"/>
          <w:sz w:val="24"/>
          <w:szCs w:val="24"/>
        </w:rPr>
        <w:t>1.5评审程序：</w:t>
      </w:r>
    </w:p>
    <w:p>
      <w:pPr>
        <w:ind w:firstLine="470" w:firstLineChars="196"/>
        <w:rPr>
          <w:rFonts w:cs="Arial"/>
          <w:sz w:val="24"/>
          <w:szCs w:val="24"/>
        </w:rPr>
      </w:pPr>
      <w:r>
        <w:rPr>
          <w:rFonts w:hint="eastAsia" w:cs="Arial"/>
          <w:sz w:val="24"/>
          <w:szCs w:val="24"/>
        </w:rPr>
        <w:t>1</w:t>
      </w:r>
      <w:r>
        <w:rPr>
          <w:rFonts w:cs="Arial"/>
          <w:sz w:val="24"/>
          <w:szCs w:val="24"/>
        </w:rPr>
        <w:t>.5.1</w:t>
      </w:r>
      <w:r>
        <w:rPr>
          <w:rFonts w:hint="eastAsia" w:cs="Arial"/>
          <w:sz w:val="24"/>
          <w:szCs w:val="24"/>
        </w:rPr>
        <w:t>评审分为符合性审查、详细评审两部分。只有通过符合性审查的比选申请人才能进入详细评审的综合评审。</w:t>
      </w:r>
    </w:p>
    <w:p>
      <w:pPr>
        <w:ind w:firstLine="470" w:firstLineChars="196"/>
        <w:rPr>
          <w:rFonts w:cs="Arial"/>
          <w:sz w:val="24"/>
          <w:szCs w:val="24"/>
        </w:rPr>
      </w:pPr>
      <w:r>
        <w:rPr>
          <w:rFonts w:hint="eastAsia" w:cs="Arial"/>
          <w:sz w:val="24"/>
          <w:szCs w:val="24"/>
        </w:rPr>
        <w:t>本项目评审以百分制计分，评审人员对各项目逐项评定计分，满分100分。评审工作由比选人组织进行。本次评比小组成员人数由3人以上（含3人）单数组成，评比小组组长由评比小组成员推举产生，主持整个评审工作，与评比小组其他成员有同等的表决权。</w:t>
      </w:r>
    </w:p>
    <w:p>
      <w:pPr>
        <w:ind w:firstLine="470" w:firstLineChars="196"/>
        <w:rPr>
          <w:rFonts w:cs="Arial"/>
          <w:sz w:val="24"/>
          <w:szCs w:val="24"/>
        </w:rPr>
      </w:pPr>
      <w:r>
        <w:rPr>
          <w:rFonts w:cs="Arial"/>
          <w:sz w:val="24"/>
          <w:szCs w:val="24"/>
        </w:rPr>
        <w:t>1.5.2</w:t>
      </w:r>
      <w:r>
        <w:rPr>
          <w:rFonts w:hint="eastAsia" w:cs="Arial"/>
          <w:sz w:val="24"/>
          <w:szCs w:val="24"/>
        </w:rPr>
        <w:t>本项目评审结果的确定：</w:t>
      </w:r>
    </w:p>
    <w:p>
      <w:pPr>
        <w:ind w:firstLine="470" w:firstLineChars="196"/>
        <w:rPr>
          <w:rFonts w:cs="Arial"/>
          <w:sz w:val="24"/>
          <w:szCs w:val="24"/>
        </w:rPr>
      </w:pPr>
      <w:r>
        <w:rPr>
          <w:rFonts w:hint="eastAsia" w:cs="Arial"/>
          <w:sz w:val="24"/>
          <w:szCs w:val="24"/>
        </w:rPr>
        <w:t>根据比选评审小组的评审结果，按综合得分由高至低的前一至三名比选人为中选候选人。以排名第一的中选候选人为中选人，如果两个比选人综合得分相同，则以报价低者排名靠前，若报价也相同，则以类似项目业绩得分较高者的排名靠前；若类似业绩得分也相同的，则以服务方案得分较高者靠前，如仍无法确定，则采用随机抽取方式确定中选人。排名第一的中选候选人放弃中选、因不可抗力因素提出不能履约合同，比选人可以确定排名第二的中选候选人为中选人，依此类推。</w:t>
      </w:r>
    </w:p>
    <w:p>
      <w:pPr>
        <w:ind w:firstLine="540" w:firstLineChars="225"/>
        <w:contextualSpacing/>
        <w:rPr>
          <w:sz w:val="24"/>
          <w:szCs w:val="24"/>
        </w:rPr>
      </w:pPr>
      <w:r>
        <w:rPr>
          <w:sz w:val="24"/>
          <w:szCs w:val="24"/>
        </w:rPr>
        <w:t xml:space="preserve">1.5.3 </w:t>
      </w:r>
      <w:r>
        <w:rPr>
          <w:rFonts w:hint="eastAsia"/>
          <w:sz w:val="24"/>
          <w:szCs w:val="24"/>
        </w:rPr>
        <w:t>在评审过程中，</w:t>
      </w:r>
      <w:r>
        <w:rPr>
          <w:sz w:val="24"/>
          <w:szCs w:val="24"/>
        </w:rPr>
        <w:t>凡</w:t>
      </w:r>
      <w:r>
        <w:rPr>
          <w:rFonts w:hint="eastAsia"/>
          <w:sz w:val="24"/>
          <w:szCs w:val="24"/>
        </w:rPr>
        <w:t>未通过</w:t>
      </w:r>
      <w:r>
        <w:rPr>
          <w:sz w:val="24"/>
          <w:szCs w:val="24"/>
        </w:rPr>
        <w:t>上一评审程序的</w:t>
      </w:r>
      <w:r>
        <w:rPr>
          <w:rFonts w:hint="eastAsia"/>
          <w:sz w:val="24"/>
          <w:szCs w:val="24"/>
        </w:rPr>
        <w:t>比选申请文件</w:t>
      </w:r>
      <w:r>
        <w:rPr>
          <w:sz w:val="24"/>
          <w:szCs w:val="24"/>
        </w:rPr>
        <w:t>，不再进</w:t>
      </w:r>
      <w:r>
        <w:rPr>
          <w:rFonts w:hint="eastAsia"/>
          <w:sz w:val="24"/>
          <w:szCs w:val="24"/>
        </w:rPr>
        <w:t>入</w:t>
      </w:r>
      <w:r>
        <w:rPr>
          <w:sz w:val="24"/>
          <w:szCs w:val="24"/>
        </w:rPr>
        <w:t>后续评审程序。</w:t>
      </w:r>
    </w:p>
    <w:p>
      <w:pPr>
        <w:pStyle w:val="4"/>
        <w:spacing w:after="120" w:line="240" w:lineRule="auto"/>
        <w:rPr>
          <w:rFonts w:ascii="宋体" w:hAnsi="宋体" w:eastAsia="宋体"/>
          <w:sz w:val="24"/>
        </w:rPr>
      </w:pPr>
      <w:r>
        <w:rPr>
          <w:rFonts w:hint="eastAsia" w:ascii="宋体" w:hAnsi="宋体" w:eastAsia="宋体"/>
          <w:sz w:val="24"/>
        </w:rPr>
        <w:t>2</w:t>
      </w:r>
      <w:r>
        <w:rPr>
          <w:rFonts w:ascii="宋体" w:hAnsi="宋体" w:eastAsia="宋体"/>
          <w:sz w:val="24"/>
        </w:rPr>
        <w:t>.</w:t>
      </w:r>
      <w:r>
        <w:rPr>
          <w:rFonts w:hint="eastAsia" w:ascii="宋体" w:hAnsi="宋体" w:eastAsia="宋体"/>
          <w:sz w:val="24"/>
        </w:rPr>
        <w:t>资格审查</w:t>
      </w:r>
    </w:p>
    <w:p>
      <w:pPr>
        <w:ind w:right="116" w:rightChars="34" w:firstLine="484" w:firstLineChars="202"/>
        <w:contextualSpacing/>
        <w:rPr>
          <w:rFonts w:hint="eastAsia" w:cs="Arial"/>
          <w:sz w:val="24"/>
          <w:szCs w:val="21"/>
        </w:rPr>
      </w:pPr>
      <w:r>
        <w:rPr>
          <w:sz w:val="24"/>
          <w:szCs w:val="21"/>
        </w:rPr>
        <w:t>2.1比选评审小组首先对所有比选申请文件进行资格审查，</w:t>
      </w:r>
      <w:r>
        <w:rPr>
          <w:rFonts w:hint="eastAsia" w:cs="Arial"/>
          <w:sz w:val="24"/>
          <w:szCs w:val="21"/>
        </w:rPr>
        <w:t>资格审查实行强制性合格条件标准（参照第三章 供应商资格条件要求），凡有一项不合格则不能通过。资格审查未通过</w:t>
      </w:r>
      <w:r>
        <w:rPr>
          <w:rFonts w:hint="eastAsia"/>
          <w:sz w:val="24"/>
          <w:szCs w:val="21"/>
        </w:rPr>
        <w:t>的</w:t>
      </w:r>
      <w:r>
        <w:rPr>
          <w:rFonts w:hint="eastAsia" w:cs="Arial"/>
          <w:sz w:val="24"/>
          <w:szCs w:val="21"/>
        </w:rPr>
        <w:t>不再进入下步评审。</w:t>
      </w:r>
    </w:p>
    <w:p>
      <w:pPr>
        <w:pStyle w:val="4"/>
        <w:spacing w:after="120" w:line="240" w:lineRule="auto"/>
        <w:rPr>
          <w:rFonts w:hint="eastAsia" w:ascii="宋体" w:hAnsi="宋体" w:eastAsia="宋体"/>
          <w:sz w:val="24"/>
        </w:rPr>
      </w:pPr>
      <w:r>
        <w:rPr>
          <w:rFonts w:hint="eastAsia" w:ascii="宋体" w:hAnsi="宋体" w:eastAsia="宋体"/>
          <w:sz w:val="24"/>
        </w:rPr>
        <w:t>3.综合评分</w:t>
      </w:r>
    </w:p>
    <w:p>
      <w:pPr>
        <w:ind w:firstLine="480" w:firstLineChars="200"/>
        <w:rPr>
          <w:sz w:val="24"/>
        </w:rPr>
      </w:pPr>
      <w:r>
        <w:rPr>
          <w:sz w:val="24"/>
        </w:rPr>
        <w:t>3.1</w:t>
      </w:r>
      <w:r>
        <w:rPr>
          <w:rFonts w:hint="eastAsia"/>
          <w:sz w:val="24"/>
        </w:rPr>
        <w:t>本次综合评分的因素：详见综合评分明细表。</w:t>
      </w:r>
    </w:p>
    <w:p>
      <w:pPr>
        <w:pStyle w:val="5"/>
        <w:tabs>
          <w:tab w:val="left" w:pos="600"/>
        </w:tabs>
        <w:spacing w:line="240" w:lineRule="auto"/>
        <w:ind w:firstLine="480" w:firstLineChars="200"/>
        <w:rPr>
          <w:sz w:val="24"/>
          <w:szCs w:val="24"/>
        </w:rPr>
      </w:pPr>
      <w:r>
        <w:rPr>
          <w:sz w:val="24"/>
          <w:szCs w:val="24"/>
        </w:rPr>
        <w:t xml:space="preserve">3.2 </w:t>
      </w:r>
      <w:r>
        <w:rPr>
          <w:rFonts w:hint="eastAsia"/>
          <w:sz w:val="24"/>
          <w:szCs w:val="24"/>
        </w:rPr>
        <w:t>综合评分明细表</w:t>
      </w:r>
    </w:p>
    <w:p>
      <w:pPr>
        <w:pStyle w:val="5"/>
        <w:tabs>
          <w:tab w:val="left" w:pos="600"/>
        </w:tabs>
        <w:spacing w:line="240" w:lineRule="auto"/>
        <w:ind w:firstLine="720" w:firstLineChars="300"/>
        <w:rPr>
          <w:sz w:val="24"/>
          <w:szCs w:val="24"/>
        </w:rPr>
      </w:pPr>
      <w:r>
        <w:rPr>
          <w:sz w:val="24"/>
          <w:szCs w:val="24"/>
        </w:rPr>
        <w:t>3.2.1</w:t>
      </w:r>
      <w:r>
        <w:rPr>
          <w:rFonts w:hint="eastAsia"/>
          <w:sz w:val="24"/>
          <w:szCs w:val="24"/>
        </w:rPr>
        <w:t>综合评分明细表的制定以科学合理、降低评委会自由裁量权为原则。</w:t>
      </w:r>
    </w:p>
    <w:p>
      <w:bookmarkStart w:id="1" w:name="_Toc15812"/>
      <w:r>
        <w:rPr>
          <w:rFonts w:hAnsi="宋体"/>
          <w:b/>
          <w:sz w:val="24"/>
          <w:szCs w:val="24"/>
        </w:rPr>
        <w:t>3.2.2</w:t>
      </w:r>
      <w:r>
        <w:rPr>
          <w:rFonts w:hint="eastAsia" w:hAnsi="宋体"/>
          <w:b/>
          <w:sz w:val="24"/>
          <w:szCs w:val="24"/>
        </w:rPr>
        <w:t>综合评分明细表</w:t>
      </w:r>
      <w:bookmarkEnd w:id="1"/>
    </w:p>
    <w:p>
      <w:pPr>
        <w:pStyle w:val="2"/>
        <w:jc w:val="center"/>
        <w:rPr>
          <w:rFonts w:hint="eastAsia" w:ascii="宋体" w:hAnsi="宋体"/>
          <w:b/>
          <w:bCs/>
          <w:szCs w:val="24"/>
        </w:rPr>
      </w:pPr>
    </w:p>
    <w:p>
      <w:pPr>
        <w:pStyle w:val="2"/>
        <w:jc w:val="center"/>
        <w:rPr>
          <w:rFonts w:hint="eastAsia" w:ascii="宋体" w:hAnsi="宋体"/>
          <w:b/>
          <w:bCs/>
          <w:szCs w:val="24"/>
        </w:rPr>
      </w:pPr>
      <w:r>
        <w:rPr>
          <w:rFonts w:hint="eastAsia" w:ascii="宋体" w:hAnsi="宋体"/>
          <w:b/>
          <w:bCs/>
          <w:szCs w:val="24"/>
        </w:rPr>
        <w:t>综合评分明细表</w:t>
      </w:r>
    </w:p>
    <w:tbl>
      <w:tblPr>
        <w:tblStyle w:val="8"/>
        <w:tblpPr w:leftFromText="180" w:rightFromText="180" w:vertAnchor="text" w:horzAnchor="page" w:tblpX="1111" w:tblpY="577"/>
        <w:tblOverlap w:val="never"/>
        <w:tblW w:w="10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1877"/>
        <w:gridCol w:w="6007"/>
        <w:gridCol w:w="1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3113" w:type="dxa"/>
            <w:gridSpan w:val="2"/>
            <w:vAlign w:val="center"/>
          </w:tcPr>
          <w:p>
            <w:pPr>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评分内容</w:t>
            </w:r>
          </w:p>
        </w:tc>
        <w:tc>
          <w:tcPr>
            <w:tcW w:w="6007" w:type="dxa"/>
            <w:vAlign w:val="center"/>
          </w:tcPr>
          <w:p>
            <w:pPr>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评分标准</w:t>
            </w:r>
          </w:p>
        </w:tc>
        <w:tc>
          <w:tcPr>
            <w:tcW w:w="1078" w:type="dxa"/>
            <w:vAlign w:val="center"/>
          </w:tcPr>
          <w:p>
            <w:pPr>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2" w:hRule="atLeast"/>
        </w:trPr>
        <w:tc>
          <w:tcPr>
            <w:tcW w:w="3113" w:type="dxa"/>
            <w:gridSpan w:val="2"/>
            <w:vAlign w:val="center"/>
          </w:tcPr>
          <w:p>
            <w:pPr>
              <w:jc w:val="center"/>
              <w:rPr>
                <w:rFonts w:ascii="仿宋" w:hAnsi="仿宋" w:eastAsia="仿宋"/>
                <w:sz w:val="24"/>
                <w:szCs w:val="24"/>
              </w:rPr>
            </w:pPr>
            <w:r>
              <w:rPr>
                <w:rFonts w:hint="eastAsia" w:ascii="仿宋" w:hAnsi="仿宋" w:eastAsia="仿宋"/>
                <w:sz w:val="24"/>
                <w:szCs w:val="24"/>
              </w:rPr>
              <w:t>报价（10分）</w:t>
            </w:r>
          </w:p>
        </w:tc>
        <w:tc>
          <w:tcPr>
            <w:tcW w:w="6007" w:type="dxa"/>
            <w:vAlign w:val="center"/>
          </w:tcPr>
          <w:p>
            <w:pPr>
              <w:pStyle w:val="10"/>
              <w:numPr>
                <w:ilvl w:val="0"/>
                <w:numId w:val="1"/>
              </w:numPr>
              <w:ind w:firstLineChars="0"/>
              <w:jc w:val="left"/>
              <w:rPr>
                <w:rFonts w:ascii="仿宋" w:hAnsi="仿宋" w:eastAsia="仿宋"/>
                <w:sz w:val="24"/>
                <w:szCs w:val="24"/>
              </w:rPr>
            </w:pPr>
            <w:r>
              <w:rPr>
                <w:rFonts w:hint="eastAsia" w:ascii="仿宋" w:hAnsi="仿宋" w:eastAsia="仿宋"/>
                <w:sz w:val="24"/>
                <w:szCs w:val="24"/>
              </w:rPr>
              <w:t>以比选对象提供的最终报价的平均值为基准价，最终报价等于基准价的得10分，最终报价与基准价相比，每高1%扣0.2分，每低1%扣0.</w:t>
            </w:r>
            <w:r>
              <w:rPr>
                <w:rFonts w:hint="eastAsia" w:ascii="仿宋" w:hAnsi="仿宋" w:eastAsia="仿宋"/>
                <w:sz w:val="24"/>
                <w:szCs w:val="24"/>
                <w:lang w:val="en-US" w:eastAsia="zh-CN"/>
              </w:rPr>
              <w:t>2</w:t>
            </w:r>
            <w:r>
              <w:rPr>
                <w:rFonts w:hint="eastAsia" w:ascii="仿宋" w:hAnsi="仿宋" w:eastAsia="仿宋"/>
                <w:sz w:val="24"/>
                <w:szCs w:val="24"/>
              </w:rPr>
              <w:t>分，扣完为止（评分保留小数点后一位）。</w:t>
            </w:r>
          </w:p>
        </w:tc>
        <w:tc>
          <w:tcPr>
            <w:tcW w:w="1078"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3" w:hRule="atLeast"/>
        </w:trPr>
        <w:tc>
          <w:tcPr>
            <w:tcW w:w="3113" w:type="dxa"/>
            <w:gridSpan w:val="2"/>
            <w:vAlign w:val="center"/>
          </w:tcPr>
          <w:p>
            <w:pPr>
              <w:rPr>
                <w:rFonts w:ascii="仿宋" w:hAnsi="仿宋" w:eastAsia="仿宋"/>
                <w:sz w:val="24"/>
                <w:szCs w:val="24"/>
              </w:rPr>
            </w:pPr>
            <w:r>
              <w:rPr>
                <w:rFonts w:hint="eastAsia" w:ascii="仿宋" w:hAnsi="仿宋" w:eastAsia="仿宋"/>
                <w:sz w:val="24"/>
                <w:szCs w:val="24"/>
              </w:rPr>
              <w:t>事务所业绩（同一个发债项目分期发行的算一个案例）  （</w:t>
            </w:r>
            <w:r>
              <w:rPr>
                <w:rFonts w:ascii="仿宋" w:hAnsi="仿宋" w:eastAsia="仿宋"/>
                <w:sz w:val="24"/>
                <w:szCs w:val="24"/>
              </w:rPr>
              <w:t>20</w:t>
            </w:r>
            <w:r>
              <w:rPr>
                <w:rFonts w:hint="eastAsia" w:ascii="仿宋" w:hAnsi="仿宋" w:eastAsia="仿宋"/>
                <w:sz w:val="24"/>
                <w:szCs w:val="24"/>
              </w:rPr>
              <w:t>分）</w:t>
            </w:r>
          </w:p>
          <w:p>
            <w:pPr>
              <w:jc w:val="center"/>
              <w:rPr>
                <w:rFonts w:ascii="仿宋" w:hAnsi="仿宋" w:eastAsia="仿宋"/>
                <w:sz w:val="24"/>
                <w:szCs w:val="24"/>
              </w:rPr>
            </w:pPr>
          </w:p>
        </w:tc>
        <w:tc>
          <w:tcPr>
            <w:tcW w:w="6007" w:type="dxa"/>
            <w:vAlign w:val="center"/>
          </w:tcPr>
          <w:p>
            <w:pPr>
              <w:pStyle w:val="10"/>
              <w:numPr>
                <w:ilvl w:val="0"/>
                <w:numId w:val="2"/>
              </w:numPr>
              <w:ind w:firstLineChars="0"/>
              <w:jc w:val="left"/>
              <w:rPr>
                <w:rFonts w:ascii="仿宋" w:hAnsi="仿宋" w:eastAsia="仿宋"/>
                <w:sz w:val="24"/>
                <w:szCs w:val="24"/>
              </w:rPr>
            </w:pPr>
            <w:r>
              <w:rPr>
                <w:rFonts w:hint="eastAsia" w:ascii="仿宋" w:hAnsi="仿宋" w:eastAsia="仿宋"/>
                <w:bCs/>
                <w:sz w:val="24"/>
                <w:szCs w:val="24"/>
              </w:rPr>
              <w:t>比选对象近三年为四川省内国有</w:t>
            </w:r>
            <w:r>
              <w:rPr>
                <w:rFonts w:hint="eastAsia" w:ascii="仿宋" w:hAnsi="仿宋" w:eastAsia="仿宋"/>
                <w:b/>
                <w:bCs/>
                <w:sz w:val="24"/>
                <w:szCs w:val="24"/>
              </w:rPr>
              <w:t>企业</w:t>
            </w:r>
            <w:r>
              <w:rPr>
                <w:rFonts w:hint="eastAsia" w:ascii="仿宋" w:hAnsi="仿宋" w:eastAsia="仿宋"/>
                <w:bCs/>
                <w:sz w:val="24"/>
                <w:szCs w:val="24"/>
              </w:rPr>
              <w:t>完成债券申报和发行提供专项法律服务的成功案例。每一个得</w:t>
            </w:r>
            <w:r>
              <w:rPr>
                <w:rFonts w:ascii="仿宋" w:hAnsi="仿宋" w:eastAsia="仿宋"/>
                <w:bCs/>
                <w:sz w:val="24"/>
                <w:szCs w:val="24"/>
              </w:rPr>
              <w:t>5</w:t>
            </w:r>
            <w:r>
              <w:rPr>
                <w:rFonts w:hint="eastAsia" w:ascii="仿宋" w:hAnsi="仿宋" w:eastAsia="仿宋"/>
                <w:bCs/>
                <w:sz w:val="24"/>
                <w:szCs w:val="24"/>
              </w:rPr>
              <w:t>分，满分</w:t>
            </w:r>
            <w:r>
              <w:rPr>
                <w:rFonts w:ascii="仿宋" w:hAnsi="仿宋" w:eastAsia="仿宋"/>
                <w:bCs/>
                <w:sz w:val="24"/>
                <w:szCs w:val="24"/>
              </w:rPr>
              <w:t>20</w:t>
            </w:r>
            <w:r>
              <w:rPr>
                <w:rFonts w:hint="eastAsia" w:ascii="仿宋" w:hAnsi="仿宋" w:eastAsia="仿宋"/>
                <w:bCs/>
                <w:sz w:val="24"/>
                <w:szCs w:val="24"/>
              </w:rPr>
              <w:t>分。（提供委托合同）</w:t>
            </w:r>
          </w:p>
        </w:tc>
        <w:tc>
          <w:tcPr>
            <w:tcW w:w="1078"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8" w:hRule="atLeast"/>
        </w:trPr>
        <w:tc>
          <w:tcPr>
            <w:tcW w:w="3113" w:type="dxa"/>
            <w:gridSpan w:val="2"/>
            <w:vMerge w:val="restart"/>
            <w:vAlign w:val="center"/>
          </w:tcPr>
          <w:p>
            <w:pPr>
              <w:jc w:val="center"/>
              <w:rPr>
                <w:rFonts w:ascii="仿宋" w:hAnsi="仿宋" w:eastAsia="仿宋"/>
                <w:sz w:val="24"/>
                <w:szCs w:val="24"/>
              </w:rPr>
            </w:pPr>
            <w:r>
              <w:rPr>
                <w:rFonts w:hint="eastAsia" w:ascii="仿宋" w:hAnsi="仿宋" w:eastAsia="仿宋"/>
                <w:sz w:val="24"/>
                <w:szCs w:val="24"/>
              </w:rPr>
              <w:t>比选对象综合实力（</w:t>
            </w:r>
            <w:r>
              <w:rPr>
                <w:rFonts w:ascii="仿宋" w:hAnsi="仿宋" w:eastAsia="仿宋"/>
                <w:sz w:val="24"/>
                <w:szCs w:val="24"/>
              </w:rPr>
              <w:t>20</w:t>
            </w:r>
            <w:r>
              <w:rPr>
                <w:rFonts w:hint="eastAsia" w:ascii="仿宋" w:hAnsi="仿宋" w:eastAsia="仿宋"/>
                <w:sz w:val="24"/>
                <w:szCs w:val="24"/>
              </w:rPr>
              <w:t>分）</w:t>
            </w:r>
          </w:p>
        </w:tc>
        <w:tc>
          <w:tcPr>
            <w:tcW w:w="6007" w:type="dxa"/>
            <w:vAlign w:val="center"/>
          </w:tcPr>
          <w:p>
            <w:pPr>
              <w:pStyle w:val="10"/>
              <w:numPr>
                <w:ilvl w:val="0"/>
                <w:numId w:val="3"/>
              </w:numPr>
              <w:ind w:firstLineChars="0"/>
              <w:jc w:val="left"/>
              <w:rPr>
                <w:rFonts w:ascii="仿宋" w:hAnsi="仿宋" w:eastAsia="仿宋"/>
                <w:sz w:val="24"/>
                <w:szCs w:val="24"/>
              </w:rPr>
            </w:pPr>
            <w:r>
              <w:rPr>
                <w:rFonts w:hint="eastAsia" w:ascii="仿宋" w:hAnsi="仿宋" w:eastAsia="仿宋"/>
                <w:bCs/>
                <w:sz w:val="24"/>
                <w:szCs w:val="24"/>
              </w:rPr>
              <w:t>比选对象有执业律师</w:t>
            </w:r>
            <w:r>
              <w:rPr>
                <w:rFonts w:hint="eastAsia" w:ascii="仿宋" w:hAnsi="仿宋" w:eastAsia="仿宋"/>
                <w:bCs/>
                <w:sz w:val="24"/>
                <w:szCs w:val="24"/>
                <w:lang w:val="en-US" w:eastAsia="zh-CN"/>
              </w:rPr>
              <w:t>3</w:t>
            </w:r>
            <w:r>
              <w:rPr>
                <w:rFonts w:hint="eastAsia" w:ascii="仿宋" w:hAnsi="仿宋" w:eastAsia="仿宋"/>
                <w:bCs/>
                <w:sz w:val="24"/>
                <w:szCs w:val="24"/>
              </w:rPr>
              <w:t>00人</w:t>
            </w:r>
            <w:r>
              <w:rPr>
                <w:rFonts w:hint="eastAsia" w:ascii="仿宋" w:hAnsi="仿宋" w:eastAsia="仿宋"/>
                <w:bCs/>
                <w:sz w:val="24"/>
                <w:szCs w:val="24"/>
                <w:lang w:eastAsia="zh-CN"/>
              </w:rPr>
              <w:t>（</w:t>
            </w:r>
            <w:r>
              <w:rPr>
                <w:rFonts w:hint="eastAsia" w:ascii="仿宋" w:hAnsi="仿宋" w:eastAsia="仿宋"/>
                <w:bCs/>
                <w:sz w:val="24"/>
                <w:szCs w:val="24"/>
              </w:rPr>
              <w:t>含）及以上的得</w:t>
            </w:r>
            <w:r>
              <w:rPr>
                <w:rFonts w:ascii="仿宋" w:hAnsi="仿宋" w:eastAsia="仿宋"/>
                <w:bCs/>
                <w:sz w:val="24"/>
                <w:szCs w:val="24"/>
              </w:rPr>
              <w:t>5</w:t>
            </w:r>
            <w:r>
              <w:rPr>
                <w:rFonts w:hint="eastAsia" w:ascii="仿宋" w:hAnsi="仿宋" w:eastAsia="仿宋"/>
                <w:bCs/>
                <w:sz w:val="24"/>
                <w:szCs w:val="24"/>
              </w:rPr>
              <w:t>分，</w:t>
            </w:r>
            <w:r>
              <w:rPr>
                <w:rFonts w:hint="eastAsia" w:ascii="仿宋" w:hAnsi="仿宋" w:eastAsia="仿宋"/>
                <w:bCs/>
                <w:sz w:val="24"/>
                <w:szCs w:val="24"/>
                <w:lang w:val="en-US" w:eastAsia="zh-CN"/>
              </w:rPr>
              <w:t>2</w:t>
            </w:r>
            <w:r>
              <w:rPr>
                <w:rFonts w:ascii="仿宋" w:hAnsi="仿宋" w:eastAsia="仿宋"/>
                <w:bCs/>
                <w:sz w:val="24"/>
                <w:szCs w:val="24"/>
              </w:rPr>
              <w:t>0</w:t>
            </w:r>
            <w:r>
              <w:rPr>
                <w:rFonts w:hint="eastAsia" w:ascii="仿宋" w:hAnsi="仿宋" w:eastAsia="仿宋"/>
                <w:bCs/>
                <w:sz w:val="24"/>
                <w:szCs w:val="24"/>
              </w:rPr>
              <w:t>0（含）人-</w:t>
            </w:r>
            <w:r>
              <w:rPr>
                <w:rFonts w:hint="eastAsia" w:ascii="仿宋" w:hAnsi="仿宋" w:eastAsia="仿宋"/>
                <w:bCs/>
                <w:sz w:val="24"/>
                <w:szCs w:val="24"/>
                <w:lang w:val="en-US" w:eastAsia="zh-CN"/>
              </w:rPr>
              <w:t>3</w:t>
            </w:r>
            <w:r>
              <w:rPr>
                <w:rFonts w:hint="eastAsia" w:ascii="仿宋" w:hAnsi="仿宋" w:eastAsia="仿宋"/>
                <w:bCs/>
                <w:sz w:val="24"/>
                <w:szCs w:val="24"/>
              </w:rPr>
              <w:t>0</w:t>
            </w:r>
            <w:r>
              <w:rPr>
                <w:rFonts w:ascii="仿宋" w:hAnsi="仿宋" w:eastAsia="仿宋"/>
                <w:bCs/>
                <w:sz w:val="24"/>
                <w:szCs w:val="24"/>
              </w:rPr>
              <w:t>0</w:t>
            </w:r>
            <w:r>
              <w:rPr>
                <w:rFonts w:hint="eastAsia" w:ascii="仿宋" w:hAnsi="仿宋" w:eastAsia="仿宋"/>
                <w:bCs/>
                <w:sz w:val="24"/>
                <w:szCs w:val="24"/>
              </w:rPr>
              <w:t>（不含）人的得</w:t>
            </w:r>
            <w:r>
              <w:rPr>
                <w:rFonts w:hint="eastAsia" w:ascii="仿宋" w:hAnsi="仿宋" w:eastAsia="仿宋"/>
                <w:bCs/>
                <w:sz w:val="24"/>
                <w:szCs w:val="24"/>
                <w:lang w:val="en-US" w:eastAsia="zh-CN"/>
              </w:rPr>
              <w:t>4</w:t>
            </w:r>
            <w:r>
              <w:rPr>
                <w:rFonts w:hint="eastAsia" w:ascii="仿宋" w:hAnsi="仿宋" w:eastAsia="仿宋"/>
                <w:bCs/>
                <w:sz w:val="24"/>
                <w:szCs w:val="24"/>
              </w:rPr>
              <w:t>分，</w:t>
            </w:r>
            <w:r>
              <w:rPr>
                <w:rFonts w:hint="eastAsia" w:ascii="仿宋" w:hAnsi="仿宋" w:eastAsia="仿宋"/>
                <w:bCs/>
                <w:sz w:val="24"/>
                <w:szCs w:val="24"/>
                <w:lang w:val="en-US" w:eastAsia="zh-CN"/>
              </w:rPr>
              <w:t>10</w:t>
            </w:r>
            <w:r>
              <w:rPr>
                <w:rFonts w:ascii="仿宋" w:hAnsi="仿宋" w:eastAsia="仿宋"/>
                <w:bCs/>
                <w:sz w:val="24"/>
                <w:szCs w:val="24"/>
              </w:rPr>
              <w:t>0</w:t>
            </w:r>
            <w:r>
              <w:rPr>
                <w:rFonts w:hint="eastAsia" w:ascii="仿宋" w:hAnsi="仿宋" w:eastAsia="仿宋"/>
                <w:bCs/>
                <w:sz w:val="24"/>
                <w:szCs w:val="24"/>
              </w:rPr>
              <w:t>（含）</w:t>
            </w:r>
            <w:r>
              <w:rPr>
                <w:rFonts w:ascii="仿宋" w:hAnsi="仿宋" w:eastAsia="仿宋"/>
                <w:bCs/>
                <w:sz w:val="24"/>
                <w:szCs w:val="24"/>
              </w:rPr>
              <w:t>-</w:t>
            </w:r>
            <w:r>
              <w:rPr>
                <w:rFonts w:hint="eastAsia" w:ascii="仿宋" w:hAnsi="仿宋" w:eastAsia="仿宋"/>
                <w:bCs/>
                <w:sz w:val="24"/>
                <w:szCs w:val="24"/>
                <w:lang w:val="en-US" w:eastAsia="zh-CN"/>
              </w:rPr>
              <w:t>2</w:t>
            </w:r>
            <w:r>
              <w:rPr>
                <w:rFonts w:ascii="仿宋" w:hAnsi="仿宋" w:eastAsia="仿宋"/>
                <w:bCs/>
                <w:sz w:val="24"/>
                <w:szCs w:val="24"/>
              </w:rPr>
              <w:t>00</w:t>
            </w:r>
            <w:r>
              <w:rPr>
                <w:rFonts w:hint="eastAsia" w:ascii="仿宋" w:hAnsi="仿宋" w:eastAsia="仿宋"/>
                <w:bCs/>
                <w:sz w:val="24"/>
                <w:szCs w:val="24"/>
              </w:rPr>
              <w:t>（不含）人的得</w:t>
            </w:r>
            <w:r>
              <w:rPr>
                <w:rFonts w:hint="eastAsia" w:ascii="仿宋" w:hAnsi="仿宋" w:eastAsia="仿宋"/>
                <w:bCs/>
                <w:sz w:val="24"/>
                <w:szCs w:val="24"/>
                <w:lang w:val="en-US" w:eastAsia="zh-CN"/>
              </w:rPr>
              <w:t>3</w:t>
            </w:r>
            <w:r>
              <w:rPr>
                <w:rFonts w:hint="eastAsia" w:ascii="仿宋" w:hAnsi="仿宋" w:eastAsia="仿宋"/>
                <w:bCs/>
                <w:sz w:val="24"/>
                <w:szCs w:val="24"/>
              </w:rPr>
              <w:t>分，</w:t>
            </w:r>
            <w:r>
              <w:rPr>
                <w:rFonts w:hint="eastAsia" w:ascii="仿宋" w:hAnsi="仿宋" w:eastAsia="仿宋"/>
                <w:bCs/>
                <w:sz w:val="24"/>
                <w:szCs w:val="24"/>
                <w:lang w:val="en-US" w:eastAsia="zh-CN"/>
              </w:rPr>
              <w:t>50（不含）-100（含）人的得2分，50人</w:t>
            </w:r>
            <w:r>
              <w:rPr>
                <w:rFonts w:hint="eastAsia" w:ascii="仿宋" w:hAnsi="仿宋" w:eastAsia="仿宋"/>
                <w:bCs/>
                <w:sz w:val="24"/>
                <w:szCs w:val="24"/>
              </w:rPr>
              <w:t>（含）以下</w:t>
            </w:r>
            <w:r>
              <w:rPr>
                <w:rFonts w:hint="eastAsia" w:ascii="仿宋" w:hAnsi="仿宋" w:eastAsia="仿宋"/>
                <w:bCs/>
                <w:sz w:val="24"/>
                <w:szCs w:val="24"/>
                <w:lang w:val="en-US" w:eastAsia="zh-CN"/>
              </w:rPr>
              <w:t>的</w:t>
            </w:r>
            <w:r>
              <w:rPr>
                <w:rFonts w:hint="eastAsia" w:ascii="仿宋" w:hAnsi="仿宋" w:eastAsia="仿宋"/>
                <w:bCs/>
                <w:sz w:val="24"/>
                <w:szCs w:val="24"/>
              </w:rPr>
              <w:t>得</w:t>
            </w:r>
            <w:r>
              <w:rPr>
                <w:rFonts w:hint="eastAsia" w:ascii="仿宋" w:hAnsi="仿宋" w:eastAsia="仿宋"/>
                <w:bCs/>
                <w:sz w:val="24"/>
                <w:szCs w:val="24"/>
                <w:lang w:val="en-US" w:eastAsia="zh-CN"/>
              </w:rPr>
              <w:t>1</w:t>
            </w:r>
            <w:r>
              <w:rPr>
                <w:rFonts w:hint="eastAsia" w:ascii="仿宋" w:hAnsi="仿宋" w:eastAsia="仿宋"/>
                <w:bCs/>
                <w:sz w:val="24"/>
                <w:szCs w:val="24"/>
              </w:rPr>
              <w:t>分。</w:t>
            </w:r>
          </w:p>
        </w:tc>
        <w:tc>
          <w:tcPr>
            <w:tcW w:w="1078"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trPr>
        <w:tc>
          <w:tcPr>
            <w:tcW w:w="3113" w:type="dxa"/>
            <w:gridSpan w:val="2"/>
            <w:vMerge w:val="continue"/>
            <w:vAlign w:val="center"/>
          </w:tcPr>
          <w:p>
            <w:pPr>
              <w:jc w:val="center"/>
              <w:rPr>
                <w:rFonts w:ascii="仿宋" w:hAnsi="仿宋" w:eastAsia="仿宋"/>
                <w:sz w:val="24"/>
                <w:szCs w:val="24"/>
              </w:rPr>
            </w:pPr>
          </w:p>
        </w:tc>
        <w:tc>
          <w:tcPr>
            <w:tcW w:w="6007" w:type="dxa"/>
            <w:vAlign w:val="center"/>
          </w:tcPr>
          <w:p>
            <w:pPr>
              <w:pStyle w:val="10"/>
              <w:numPr>
                <w:ilvl w:val="0"/>
                <w:numId w:val="3"/>
              </w:numPr>
              <w:ind w:firstLineChars="0"/>
              <w:jc w:val="left"/>
              <w:rPr>
                <w:rFonts w:ascii="仿宋" w:hAnsi="仿宋" w:eastAsia="仿宋"/>
                <w:color w:val="FF0000"/>
                <w:sz w:val="24"/>
                <w:szCs w:val="24"/>
              </w:rPr>
            </w:pPr>
            <w:r>
              <w:rPr>
                <w:rFonts w:hint="eastAsia" w:ascii="仿宋" w:hAnsi="仿宋" w:eastAsia="仿宋"/>
                <w:bCs/>
                <w:sz w:val="24"/>
                <w:szCs w:val="24"/>
              </w:rPr>
              <w:t>比选对象获得全国优秀律师事务所荣誉得</w:t>
            </w:r>
            <w:r>
              <w:rPr>
                <w:rFonts w:ascii="仿宋" w:hAnsi="仿宋" w:eastAsia="仿宋"/>
                <w:bCs/>
                <w:sz w:val="24"/>
                <w:szCs w:val="24"/>
              </w:rPr>
              <w:t>5</w:t>
            </w:r>
            <w:r>
              <w:rPr>
                <w:rFonts w:hint="eastAsia" w:ascii="仿宋" w:hAnsi="仿宋" w:eastAsia="仿宋"/>
                <w:bCs/>
                <w:sz w:val="24"/>
                <w:szCs w:val="24"/>
              </w:rPr>
              <w:t>分，省级优秀律师事务所荣誉得</w:t>
            </w:r>
            <w:r>
              <w:rPr>
                <w:rFonts w:ascii="仿宋" w:hAnsi="仿宋" w:eastAsia="仿宋"/>
                <w:bCs/>
                <w:sz w:val="24"/>
                <w:szCs w:val="24"/>
              </w:rPr>
              <w:t>3</w:t>
            </w:r>
            <w:r>
              <w:rPr>
                <w:rFonts w:hint="eastAsia" w:ascii="仿宋" w:hAnsi="仿宋" w:eastAsia="仿宋"/>
                <w:bCs/>
                <w:sz w:val="24"/>
                <w:szCs w:val="24"/>
              </w:rPr>
              <w:t>分，市级优秀律师事务所荣誉得1分。(总分不超过</w:t>
            </w:r>
            <w:r>
              <w:rPr>
                <w:rFonts w:ascii="仿宋" w:hAnsi="仿宋" w:eastAsia="仿宋"/>
                <w:bCs/>
                <w:sz w:val="24"/>
                <w:szCs w:val="24"/>
              </w:rPr>
              <w:t>5</w:t>
            </w:r>
            <w:r>
              <w:rPr>
                <w:rFonts w:hint="eastAsia" w:ascii="仿宋" w:hAnsi="仿宋" w:eastAsia="仿宋"/>
                <w:bCs/>
                <w:sz w:val="24"/>
                <w:szCs w:val="24"/>
              </w:rPr>
              <w:t>分，需提供相关证明材料。</w:t>
            </w:r>
          </w:p>
        </w:tc>
        <w:tc>
          <w:tcPr>
            <w:tcW w:w="1078" w:type="dxa"/>
            <w:vMerge w:val="restart"/>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3113" w:type="dxa"/>
            <w:gridSpan w:val="2"/>
            <w:vMerge w:val="continue"/>
            <w:vAlign w:val="center"/>
          </w:tcPr>
          <w:p>
            <w:pPr>
              <w:jc w:val="center"/>
              <w:rPr>
                <w:rFonts w:ascii="仿宋" w:hAnsi="仿宋" w:eastAsia="仿宋"/>
                <w:sz w:val="24"/>
                <w:szCs w:val="24"/>
              </w:rPr>
            </w:pPr>
          </w:p>
        </w:tc>
        <w:tc>
          <w:tcPr>
            <w:tcW w:w="6007" w:type="dxa"/>
            <w:vAlign w:val="center"/>
          </w:tcPr>
          <w:p>
            <w:pPr>
              <w:pStyle w:val="10"/>
              <w:numPr>
                <w:ilvl w:val="0"/>
                <w:numId w:val="3"/>
              </w:numPr>
              <w:ind w:firstLineChars="0"/>
              <w:jc w:val="left"/>
              <w:rPr>
                <w:rFonts w:ascii="仿宋" w:hAnsi="仿宋" w:eastAsia="仿宋"/>
                <w:bCs/>
                <w:sz w:val="24"/>
                <w:szCs w:val="24"/>
              </w:rPr>
            </w:pPr>
            <w:r>
              <w:rPr>
                <w:rFonts w:hint="eastAsia" w:ascii="仿宋" w:hAnsi="仿宋" w:eastAsia="仿宋"/>
                <w:bCs/>
                <w:sz w:val="24"/>
                <w:szCs w:val="24"/>
              </w:rPr>
              <w:t>事务所成立期限:满</w:t>
            </w:r>
            <w:r>
              <w:rPr>
                <w:rFonts w:ascii="仿宋" w:hAnsi="仿宋" w:eastAsia="仿宋"/>
                <w:bCs/>
                <w:sz w:val="24"/>
                <w:szCs w:val="24"/>
              </w:rPr>
              <w:t>20</w:t>
            </w:r>
            <w:r>
              <w:rPr>
                <w:rFonts w:hint="eastAsia" w:ascii="仿宋" w:hAnsi="仿宋" w:eastAsia="仿宋"/>
                <w:bCs/>
                <w:sz w:val="24"/>
                <w:szCs w:val="24"/>
              </w:rPr>
              <w:t>（含）年，得 5 分;满</w:t>
            </w:r>
            <w:r>
              <w:rPr>
                <w:rFonts w:ascii="仿宋" w:hAnsi="仿宋" w:eastAsia="仿宋"/>
                <w:bCs/>
                <w:sz w:val="24"/>
                <w:szCs w:val="24"/>
              </w:rPr>
              <w:t>10</w:t>
            </w:r>
            <w:r>
              <w:rPr>
                <w:rFonts w:hint="eastAsia" w:ascii="仿宋" w:hAnsi="仿宋" w:eastAsia="仿宋"/>
                <w:bCs/>
                <w:sz w:val="24"/>
                <w:szCs w:val="24"/>
              </w:rPr>
              <w:t xml:space="preserve">（含）年，得 </w:t>
            </w:r>
            <w:r>
              <w:rPr>
                <w:rFonts w:hint="eastAsia" w:ascii="仿宋" w:hAnsi="仿宋" w:eastAsia="仿宋"/>
                <w:bCs/>
                <w:sz w:val="24"/>
                <w:szCs w:val="24"/>
                <w:lang w:val="en-US" w:eastAsia="zh-CN"/>
              </w:rPr>
              <w:t>3</w:t>
            </w:r>
            <w:r>
              <w:rPr>
                <w:rFonts w:hint="eastAsia" w:ascii="仿宋" w:hAnsi="仿宋" w:eastAsia="仿宋"/>
                <w:bCs/>
                <w:sz w:val="24"/>
                <w:szCs w:val="24"/>
              </w:rPr>
              <w:t xml:space="preserve">分; </w:t>
            </w:r>
            <w:r>
              <w:rPr>
                <w:rFonts w:ascii="仿宋" w:hAnsi="仿宋" w:eastAsia="仿宋"/>
                <w:bCs/>
                <w:sz w:val="24"/>
                <w:szCs w:val="24"/>
              </w:rPr>
              <w:t>5</w:t>
            </w:r>
            <w:r>
              <w:rPr>
                <w:rFonts w:hint="eastAsia" w:ascii="仿宋" w:hAnsi="仿宋" w:eastAsia="仿宋"/>
                <w:bCs/>
                <w:sz w:val="24"/>
                <w:szCs w:val="24"/>
              </w:rPr>
              <w:t>（含）</w:t>
            </w:r>
            <w:r>
              <w:rPr>
                <w:rFonts w:ascii="仿宋" w:hAnsi="仿宋" w:eastAsia="仿宋"/>
                <w:bCs/>
                <w:sz w:val="24"/>
                <w:szCs w:val="24"/>
              </w:rPr>
              <w:t>-10</w:t>
            </w:r>
            <w:r>
              <w:rPr>
                <w:rFonts w:hint="eastAsia" w:ascii="仿宋" w:hAnsi="仿宋" w:eastAsia="仿宋"/>
                <w:bCs/>
                <w:sz w:val="24"/>
                <w:szCs w:val="24"/>
              </w:rPr>
              <w:t xml:space="preserve">（不含）年，得 </w:t>
            </w:r>
            <w:r>
              <w:rPr>
                <w:rFonts w:hint="eastAsia" w:ascii="仿宋" w:hAnsi="仿宋" w:eastAsia="仿宋"/>
                <w:bCs/>
                <w:sz w:val="24"/>
                <w:szCs w:val="24"/>
                <w:lang w:val="en-US" w:eastAsia="zh-CN"/>
              </w:rPr>
              <w:t>2</w:t>
            </w:r>
            <w:r>
              <w:rPr>
                <w:rFonts w:hint="eastAsia" w:ascii="仿宋" w:hAnsi="仿宋" w:eastAsia="仿宋"/>
                <w:bCs/>
                <w:sz w:val="24"/>
                <w:szCs w:val="24"/>
              </w:rPr>
              <w:t>分，5年以下</w:t>
            </w:r>
            <w:r>
              <w:rPr>
                <w:rFonts w:hint="eastAsia" w:ascii="仿宋" w:hAnsi="仿宋" w:eastAsia="仿宋"/>
                <w:bCs/>
                <w:sz w:val="24"/>
                <w:szCs w:val="24"/>
                <w:lang w:val="en-US" w:eastAsia="zh-CN"/>
              </w:rPr>
              <w:t>的</w:t>
            </w:r>
            <w:r>
              <w:rPr>
                <w:rFonts w:hint="eastAsia" w:ascii="仿宋" w:hAnsi="仿宋" w:eastAsia="仿宋"/>
                <w:bCs/>
                <w:sz w:val="24"/>
                <w:szCs w:val="24"/>
              </w:rPr>
              <w:t>得</w:t>
            </w:r>
            <w:r>
              <w:rPr>
                <w:rFonts w:hint="eastAsia" w:ascii="仿宋" w:hAnsi="仿宋" w:eastAsia="仿宋"/>
                <w:bCs/>
                <w:sz w:val="24"/>
                <w:szCs w:val="24"/>
                <w:lang w:val="en-US" w:eastAsia="zh-CN"/>
              </w:rPr>
              <w:t>1</w:t>
            </w:r>
            <w:r>
              <w:rPr>
                <w:rFonts w:hint="eastAsia" w:ascii="仿宋" w:hAnsi="仿宋" w:eastAsia="仿宋"/>
                <w:bCs/>
                <w:sz w:val="24"/>
                <w:szCs w:val="24"/>
              </w:rPr>
              <w:t>分。</w:t>
            </w:r>
          </w:p>
        </w:tc>
        <w:tc>
          <w:tcPr>
            <w:tcW w:w="1078" w:type="dxa"/>
            <w:vMerge w:val="continue"/>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trPr>
        <w:tc>
          <w:tcPr>
            <w:tcW w:w="3113" w:type="dxa"/>
            <w:gridSpan w:val="2"/>
            <w:vMerge w:val="continue"/>
            <w:vAlign w:val="center"/>
          </w:tcPr>
          <w:p>
            <w:pPr>
              <w:jc w:val="center"/>
              <w:rPr>
                <w:rFonts w:ascii="仿宋" w:hAnsi="仿宋" w:eastAsia="仿宋"/>
                <w:sz w:val="24"/>
                <w:szCs w:val="24"/>
              </w:rPr>
            </w:pPr>
          </w:p>
        </w:tc>
        <w:tc>
          <w:tcPr>
            <w:tcW w:w="6007" w:type="dxa"/>
            <w:vAlign w:val="center"/>
          </w:tcPr>
          <w:p>
            <w:pPr>
              <w:pStyle w:val="10"/>
              <w:numPr>
                <w:ilvl w:val="0"/>
                <w:numId w:val="3"/>
              </w:numPr>
              <w:ind w:firstLineChars="0"/>
              <w:jc w:val="left"/>
              <w:rPr>
                <w:rFonts w:ascii="仿宋" w:hAnsi="仿宋" w:eastAsia="仿宋"/>
                <w:bCs/>
                <w:sz w:val="24"/>
                <w:szCs w:val="24"/>
              </w:rPr>
            </w:pPr>
            <w:r>
              <w:rPr>
                <w:rFonts w:hint="eastAsia" w:ascii="仿宋" w:hAnsi="仿宋" w:eastAsia="仿宋"/>
                <w:bCs/>
                <w:sz w:val="24"/>
                <w:szCs w:val="24"/>
              </w:rPr>
              <w:t>在全国有分支机构的，每有一个得</w:t>
            </w:r>
            <w:r>
              <w:rPr>
                <w:rFonts w:ascii="仿宋" w:hAnsi="仿宋" w:eastAsia="仿宋"/>
                <w:bCs/>
                <w:sz w:val="24"/>
                <w:szCs w:val="24"/>
              </w:rPr>
              <w:t>0.5</w:t>
            </w:r>
            <w:r>
              <w:rPr>
                <w:rFonts w:hint="eastAsia" w:ascii="仿宋" w:hAnsi="仿宋" w:eastAsia="仿宋"/>
                <w:bCs/>
                <w:sz w:val="24"/>
                <w:szCs w:val="24"/>
              </w:rPr>
              <w:t>分，最多得5分。</w:t>
            </w:r>
          </w:p>
        </w:tc>
        <w:tc>
          <w:tcPr>
            <w:tcW w:w="1078" w:type="dxa"/>
            <w:vMerge w:val="continue"/>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6" w:hRule="atLeast"/>
        </w:trPr>
        <w:tc>
          <w:tcPr>
            <w:tcW w:w="1236" w:type="dxa"/>
            <w:vMerge w:val="restart"/>
            <w:vAlign w:val="center"/>
          </w:tcPr>
          <w:p>
            <w:pPr>
              <w:jc w:val="center"/>
              <w:rPr>
                <w:rFonts w:ascii="仿宋" w:hAnsi="仿宋" w:eastAsia="仿宋"/>
                <w:sz w:val="24"/>
                <w:szCs w:val="24"/>
              </w:rPr>
            </w:pPr>
            <w:r>
              <w:rPr>
                <w:rFonts w:hint="eastAsia" w:ascii="仿宋" w:hAnsi="仿宋" w:eastAsia="仿宋"/>
                <w:sz w:val="24"/>
                <w:szCs w:val="24"/>
              </w:rPr>
              <w:t>服务团队经验（2</w:t>
            </w:r>
            <w:r>
              <w:rPr>
                <w:rFonts w:ascii="仿宋" w:hAnsi="仿宋" w:eastAsia="仿宋"/>
                <w:sz w:val="24"/>
                <w:szCs w:val="24"/>
              </w:rPr>
              <w:t>0</w:t>
            </w:r>
            <w:r>
              <w:rPr>
                <w:rFonts w:hint="eastAsia" w:ascii="仿宋" w:hAnsi="仿宋" w:eastAsia="仿宋"/>
                <w:sz w:val="24"/>
                <w:szCs w:val="24"/>
              </w:rPr>
              <w:t>分）</w:t>
            </w:r>
          </w:p>
        </w:tc>
        <w:tc>
          <w:tcPr>
            <w:tcW w:w="1877" w:type="dxa"/>
            <w:vMerge w:val="restart"/>
            <w:vAlign w:val="center"/>
          </w:tcPr>
          <w:p>
            <w:pPr>
              <w:jc w:val="center"/>
              <w:rPr>
                <w:rFonts w:ascii="仿宋" w:hAnsi="仿宋" w:eastAsia="仿宋"/>
                <w:sz w:val="24"/>
                <w:szCs w:val="24"/>
              </w:rPr>
            </w:pPr>
            <w:r>
              <w:rPr>
                <w:rFonts w:hint="eastAsia" w:ascii="仿宋" w:hAnsi="仿宋" w:eastAsia="仿宋"/>
                <w:sz w:val="24"/>
                <w:szCs w:val="24"/>
              </w:rPr>
              <w:t>律师团队负责人情况（1</w:t>
            </w:r>
            <w:r>
              <w:rPr>
                <w:rFonts w:ascii="仿宋" w:hAnsi="仿宋" w:eastAsia="仿宋"/>
                <w:sz w:val="24"/>
                <w:szCs w:val="24"/>
              </w:rPr>
              <w:t>5</w:t>
            </w:r>
            <w:r>
              <w:rPr>
                <w:rFonts w:hint="eastAsia" w:ascii="仿宋" w:hAnsi="仿宋" w:eastAsia="仿宋"/>
                <w:sz w:val="24"/>
                <w:szCs w:val="24"/>
              </w:rPr>
              <w:t>分）</w:t>
            </w:r>
          </w:p>
        </w:tc>
        <w:tc>
          <w:tcPr>
            <w:tcW w:w="6007" w:type="dxa"/>
            <w:vAlign w:val="center"/>
          </w:tcPr>
          <w:p>
            <w:pPr>
              <w:pStyle w:val="10"/>
              <w:numPr>
                <w:ilvl w:val="0"/>
                <w:numId w:val="4"/>
              </w:numPr>
              <w:ind w:firstLineChars="0"/>
              <w:jc w:val="left"/>
              <w:rPr>
                <w:rFonts w:ascii="仿宋" w:hAnsi="仿宋" w:eastAsia="仿宋"/>
                <w:sz w:val="24"/>
                <w:szCs w:val="24"/>
              </w:rPr>
            </w:pPr>
            <w:r>
              <w:rPr>
                <w:rFonts w:hint="eastAsia" w:ascii="仿宋" w:hAnsi="仿宋" w:eastAsia="仿宋"/>
                <w:bCs/>
                <w:sz w:val="24"/>
                <w:szCs w:val="24"/>
              </w:rPr>
              <w:t>团队负责人律师执业1</w:t>
            </w:r>
            <w:r>
              <w:rPr>
                <w:rFonts w:ascii="仿宋" w:hAnsi="仿宋" w:eastAsia="仿宋"/>
                <w:bCs/>
                <w:sz w:val="24"/>
                <w:szCs w:val="24"/>
              </w:rPr>
              <w:t>5</w:t>
            </w:r>
            <w:r>
              <w:rPr>
                <w:rFonts w:hint="eastAsia" w:ascii="仿宋" w:hAnsi="仿宋" w:eastAsia="仿宋"/>
                <w:bCs/>
                <w:sz w:val="24"/>
                <w:szCs w:val="24"/>
              </w:rPr>
              <w:t>（含）年及以上得</w:t>
            </w:r>
            <w:r>
              <w:rPr>
                <w:rFonts w:ascii="仿宋" w:hAnsi="仿宋" w:eastAsia="仿宋"/>
                <w:bCs/>
                <w:sz w:val="24"/>
                <w:szCs w:val="24"/>
              </w:rPr>
              <w:t>5</w:t>
            </w:r>
            <w:r>
              <w:rPr>
                <w:rFonts w:hint="eastAsia" w:ascii="仿宋" w:hAnsi="仿宋" w:eastAsia="仿宋"/>
                <w:bCs/>
                <w:sz w:val="24"/>
                <w:szCs w:val="24"/>
              </w:rPr>
              <w:t>分，</w:t>
            </w:r>
            <w:r>
              <w:rPr>
                <w:rFonts w:ascii="仿宋" w:hAnsi="仿宋" w:eastAsia="仿宋"/>
                <w:bCs/>
                <w:sz w:val="24"/>
                <w:szCs w:val="24"/>
              </w:rPr>
              <w:t>10</w:t>
            </w:r>
            <w:r>
              <w:rPr>
                <w:rFonts w:hint="eastAsia" w:ascii="仿宋" w:hAnsi="仿宋" w:eastAsia="仿宋"/>
                <w:bCs/>
                <w:sz w:val="24"/>
                <w:szCs w:val="24"/>
              </w:rPr>
              <w:t>（含）年-</w:t>
            </w:r>
            <w:r>
              <w:rPr>
                <w:rFonts w:ascii="仿宋" w:hAnsi="仿宋" w:eastAsia="仿宋"/>
                <w:bCs/>
                <w:sz w:val="24"/>
                <w:szCs w:val="24"/>
              </w:rPr>
              <w:t>15</w:t>
            </w:r>
            <w:r>
              <w:rPr>
                <w:rFonts w:hint="eastAsia" w:ascii="仿宋" w:hAnsi="仿宋" w:eastAsia="仿宋"/>
                <w:bCs/>
                <w:sz w:val="24"/>
                <w:szCs w:val="24"/>
              </w:rPr>
              <w:t>（不含）年的得</w:t>
            </w:r>
            <w:r>
              <w:rPr>
                <w:rFonts w:ascii="仿宋" w:hAnsi="仿宋" w:eastAsia="仿宋"/>
                <w:bCs/>
                <w:sz w:val="24"/>
                <w:szCs w:val="24"/>
              </w:rPr>
              <w:t>3</w:t>
            </w:r>
            <w:r>
              <w:rPr>
                <w:rFonts w:hint="eastAsia" w:ascii="仿宋" w:hAnsi="仿宋" w:eastAsia="仿宋"/>
                <w:bCs/>
                <w:sz w:val="24"/>
                <w:szCs w:val="24"/>
              </w:rPr>
              <w:t>分，</w:t>
            </w:r>
            <w:r>
              <w:rPr>
                <w:rFonts w:ascii="仿宋" w:hAnsi="仿宋" w:eastAsia="仿宋"/>
                <w:bCs/>
                <w:sz w:val="24"/>
                <w:szCs w:val="24"/>
              </w:rPr>
              <w:t>5</w:t>
            </w:r>
            <w:r>
              <w:rPr>
                <w:rFonts w:hint="eastAsia" w:ascii="仿宋" w:hAnsi="仿宋" w:eastAsia="仿宋"/>
                <w:bCs/>
                <w:sz w:val="24"/>
                <w:szCs w:val="24"/>
              </w:rPr>
              <w:t>（含）年-</w:t>
            </w:r>
            <w:r>
              <w:rPr>
                <w:rFonts w:ascii="仿宋" w:hAnsi="仿宋" w:eastAsia="仿宋"/>
                <w:bCs/>
                <w:sz w:val="24"/>
                <w:szCs w:val="24"/>
              </w:rPr>
              <w:t>10</w:t>
            </w:r>
            <w:r>
              <w:rPr>
                <w:rFonts w:hint="eastAsia" w:ascii="仿宋" w:hAnsi="仿宋" w:eastAsia="仿宋"/>
                <w:bCs/>
                <w:sz w:val="24"/>
                <w:szCs w:val="24"/>
              </w:rPr>
              <w:t>（不含）年的得</w:t>
            </w:r>
            <w:r>
              <w:rPr>
                <w:rFonts w:hint="eastAsia" w:ascii="仿宋" w:hAnsi="仿宋" w:eastAsia="仿宋"/>
                <w:bCs/>
                <w:sz w:val="24"/>
                <w:szCs w:val="24"/>
                <w:lang w:val="en-US" w:eastAsia="zh-CN"/>
              </w:rPr>
              <w:t>2</w:t>
            </w:r>
            <w:r>
              <w:rPr>
                <w:rFonts w:hint="eastAsia" w:ascii="仿宋" w:hAnsi="仿宋" w:eastAsia="仿宋"/>
                <w:bCs/>
                <w:sz w:val="24"/>
                <w:szCs w:val="24"/>
              </w:rPr>
              <w:t>分，</w:t>
            </w:r>
            <w:r>
              <w:rPr>
                <w:rFonts w:ascii="仿宋" w:hAnsi="仿宋" w:eastAsia="仿宋"/>
                <w:bCs/>
                <w:sz w:val="24"/>
                <w:szCs w:val="24"/>
              </w:rPr>
              <w:t>5</w:t>
            </w:r>
            <w:r>
              <w:rPr>
                <w:rFonts w:hint="eastAsia" w:ascii="仿宋" w:hAnsi="仿宋" w:eastAsia="仿宋"/>
                <w:bCs/>
                <w:sz w:val="24"/>
                <w:szCs w:val="24"/>
              </w:rPr>
              <w:t>年以内</w:t>
            </w:r>
            <w:r>
              <w:rPr>
                <w:rFonts w:hint="eastAsia" w:ascii="仿宋" w:hAnsi="仿宋" w:eastAsia="仿宋"/>
                <w:bCs/>
                <w:sz w:val="24"/>
                <w:szCs w:val="24"/>
                <w:lang w:val="en-US" w:eastAsia="zh-CN"/>
              </w:rPr>
              <w:t>的得1分</w:t>
            </w:r>
            <w:r>
              <w:rPr>
                <w:rFonts w:hint="eastAsia" w:ascii="仿宋" w:hAnsi="仿宋" w:eastAsia="仿宋"/>
                <w:bCs/>
                <w:sz w:val="24"/>
                <w:szCs w:val="24"/>
              </w:rPr>
              <w:t>。需提供相关证明材料。</w:t>
            </w:r>
          </w:p>
        </w:tc>
        <w:tc>
          <w:tcPr>
            <w:tcW w:w="1078"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7" w:hRule="atLeast"/>
        </w:trPr>
        <w:tc>
          <w:tcPr>
            <w:tcW w:w="1236" w:type="dxa"/>
            <w:vMerge w:val="continue"/>
            <w:vAlign w:val="center"/>
          </w:tcPr>
          <w:p>
            <w:pPr>
              <w:jc w:val="center"/>
              <w:rPr>
                <w:rFonts w:ascii="仿宋" w:hAnsi="仿宋" w:eastAsia="仿宋"/>
                <w:sz w:val="24"/>
                <w:szCs w:val="24"/>
              </w:rPr>
            </w:pPr>
          </w:p>
        </w:tc>
        <w:tc>
          <w:tcPr>
            <w:tcW w:w="1877" w:type="dxa"/>
            <w:vMerge w:val="continue"/>
            <w:vAlign w:val="center"/>
          </w:tcPr>
          <w:p>
            <w:pPr>
              <w:jc w:val="center"/>
              <w:rPr>
                <w:rFonts w:ascii="仿宋" w:hAnsi="仿宋" w:eastAsia="仿宋"/>
                <w:sz w:val="24"/>
                <w:szCs w:val="24"/>
              </w:rPr>
            </w:pPr>
          </w:p>
        </w:tc>
        <w:tc>
          <w:tcPr>
            <w:tcW w:w="6007" w:type="dxa"/>
            <w:vAlign w:val="center"/>
          </w:tcPr>
          <w:p>
            <w:pPr>
              <w:pStyle w:val="10"/>
              <w:numPr>
                <w:ilvl w:val="0"/>
                <w:numId w:val="4"/>
              </w:numPr>
              <w:ind w:firstLineChars="0"/>
              <w:jc w:val="left"/>
              <w:rPr>
                <w:rFonts w:ascii="仿宋" w:hAnsi="仿宋" w:eastAsia="仿宋"/>
                <w:bCs/>
                <w:sz w:val="24"/>
                <w:szCs w:val="24"/>
              </w:rPr>
            </w:pPr>
            <w:r>
              <w:rPr>
                <w:rFonts w:hint="eastAsia" w:ascii="仿宋" w:hAnsi="仿宋" w:eastAsia="仿宋"/>
                <w:bCs/>
                <w:sz w:val="24"/>
                <w:szCs w:val="24"/>
              </w:rPr>
              <w:t>团队负责人近三年有为四川省内国有企业</w:t>
            </w:r>
            <w:r>
              <w:rPr>
                <w:rFonts w:hint="eastAsia" w:ascii="仿宋" w:hAnsi="仿宋" w:eastAsia="仿宋"/>
                <w:b/>
                <w:bCs/>
                <w:sz w:val="24"/>
                <w:szCs w:val="24"/>
              </w:rPr>
              <w:t>债券</w:t>
            </w:r>
            <w:r>
              <w:rPr>
                <w:rFonts w:hint="eastAsia" w:ascii="仿宋" w:hAnsi="仿宋" w:eastAsia="仿宋"/>
                <w:bCs/>
                <w:sz w:val="24"/>
                <w:szCs w:val="24"/>
              </w:rPr>
              <w:t>申报和发行提供过专项法律服务成功案例或盖章的法律意见书首尾页）。不少于</w:t>
            </w:r>
            <w:r>
              <w:rPr>
                <w:rFonts w:ascii="仿宋" w:hAnsi="仿宋" w:eastAsia="仿宋"/>
                <w:bCs/>
                <w:sz w:val="24"/>
                <w:szCs w:val="24"/>
              </w:rPr>
              <w:t>2</w:t>
            </w:r>
            <w:r>
              <w:rPr>
                <w:rFonts w:hint="eastAsia" w:ascii="仿宋" w:hAnsi="仿宋" w:eastAsia="仿宋"/>
                <w:bCs/>
                <w:sz w:val="24"/>
                <w:szCs w:val="24"/>
              </w:rPr>
              <w:t>个，满足条件的得</w:t>
            </w:r>
            <w:r>
              <w:rPr>
                <w:rFonts w:ascii="仿宋" w:hAnsi="仿宋" w:eastAsia="仿宋"/>
                <w:bCs/>
                <w:sz w:val="24"/>
                <w:szCs w:val="24"/>
              </w:rPr>
              <w:t>5</w:t>
            </w:r>
            <w:r>
              <w:rPr>
                <w:rFonts w:hint="eastAsia" w:ascii="仿宋" w:hAnsi="仿宋" w:eastAsia="仿宋"/>
                <w:bCs/>
                <w:sz w:val="24"/>
                <w:szCs w:val="24"/>
              </w:rPr>
              <w:t>分（需提供委托合同</w:t>
            </w:r>
            <w:r>
              <w:rPr>
                <w:rFonts w:hint="eastAsia" w:ascii="仿宋" w:hAnsi="仿宋" w:eastAsia="仿宋"/>
                <w:bCs/>
                <w:sz w:val="24"/>
                <w:szCs w:val="24"/>
                <w:lang w:eastAsia="zh-CN"/>
              </w:rPr>
              <w:t>）</w:t>
            </w:r>
          </w:p>
        </w:tc>
        <w:tc>
          <w:tcPr>
            <w:tcW w:w="1078"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236" w:type="dxa"/>
            <w:vMerge w:val="continue"/>
            <w:vAlign w:val="center"/>
          </w:tcPr>
          <w:p>
            <w:pPr>
              <w:jc w:val="center"/>
              <w:rPr>
                <w:rFonts w:ascii="仿宋" w:hAnsi="仿宋" w:eastAsia="仿宋"/>
                <w:sz w:val="24"/>
                <w:szCs w:val="24"/>
              </w:rPr>
            </w:pPr>
          </w:p>
        </w:tc>
        <w:tc>
          <w:tcPr>
            <w:tcW w:w="1877" w:type="dxa"/>
            <w:vMerge w:val="restart"/>
            <w:vAlign w:val="center"/>
          </w:tcPr>
          <w:p>
            <w:pPr>
              <w:jc w:val="center"/>
              <w:rPr>
                <w:rFonts w:ascii="仿宋" w:hAnsi="仿宋" w:eastAsia="仿宋"/>
                <w:sz w:val="24"/>
                <w:szCs w:val="24"/>
              </w:rPr>
            </w:pPr>
            <w:r>
              <w:rPr>
                <w:rFonts w:hint="eastAsia" w:ascii="仿宋" w:hAnsi="仿宋" w:eastAsia="仿宋"/>
                <w:sz w:val="24"/>
                <w:szCs w:val="24"/>
              </w:rPr>
              <w:t>律师团队其他成员情况（</w:t>
            </w:r>
            <w:r>
              <w:rPr>
                <w:rFonts w:ascii="仿宋" w:hAnsi="仿宋" w:eastAsia="仿宋"/>
                <w:sz w:val="24"/>
                <w:szCs w:val="24"/>
              </w:rPr>
              <w:t>5</w:t>
            </w:r>
            <w:r>
              <w:rPr>
                <w:rFonts w:hint="eastAsia" w:ascii="仿宋" w:hAnsi="仿宋" w:eastAsia="仿宋"/>
                <w:sz w:val="24"/>
                <w:szCs w:val="24"/>
              </w:rPr>
              <w:t>分）</w:t>
            </w:r>
          </w:p>
        </w:tc>
        <w:tc>
          <w:tcPr>
            <w:tcW w:w="6007" w:type="dxa"/>
            <w:vMerge w:val="restart"/>
            <w:vAlign w:val="center"/>
          </w:tcPr>
          <w:p>
            <w:pPr>
              <w:pStyle w:val="10"/>
              <w:numPr>
                <w:ilvl w:val="0"/>
                <w:numId w:val="0"/>
              </w:numPr>
              <w:ind w:leftChars="0" w:firstLine="480" w:firstLineChars="200"/>
              <w:jc w:val="left"/>
              <w:rPr>
                <w:rFonts w:ascii="仿宋" w:hAnsi="仿宋" w:eastAsia="仿宋"/>
                <w:sz w:val="24"/>
                <w:szCs w:val="24"/>
              </w:rPr>
            </w:pPr>
            <w:r>
              <w:rPr>
                <w:rFonts w:hint="eastAsia" w:ascii="仿宋" w:hAnsi="仿宋" w:eastAsia="仿宋"/>
                <w:sz w:val="24"/>
                <w:szCs w:val="24"/>
              </w:rPr>
              <w:t>团队其成员含</w:t>
            </w:r>
            <w:r>
              <w:rPr>
                <w:rFonts w:ascii="仿宋" w:hAnsi="仿宋" w:eastAsia="仿宋"/>
                <w:sz w:val="24"/>
                <w:szCs w:val="24"/>
              </w:rPr>
              <w:t>5</w:t>
            </w:r>
            <w:r>
              <w:rPr>
                <w:rFonts w:hint="eastAsia" w:ascii="仿宋" w:hAnsi="仿宋" w:eastAsia="仿宋"/>
                <w:sz w:val="24"/>
                <w:szCs w:val="24"/>
              </w:rPr>
              <w:t>名及以上执业律师，得</w:t>
            </w:r>
            <w:r>
              <w:rPr>
                <w:rFonts w:ascii="仿宋" w:hAnsi="仿宋" w:eastAsia="仿宋"/>
                <w:sz w:val="24"/>
                <w:szCs w:val="24"/>
              </w:rPr>
              <w:t>5</w:t>
            </w:r>
            <w:r>
              <w:rPr>
                <w:rFonts w:hint="eastAsia" w:ascii="仿宋" w:hAnsi="仿宋" w:eastAsia="仿宋"/>
                <w:sz w:val="24"/>
                <w:szCs w:val="24"/>
              </w:rPr>
              <w:t>分；</w:t>
            </w:r>
            <w:r>
              <w:rPr>
                <w:rFonts w:ascii="仿宋" w:hAnsi="仿宋" w:eastAsia="仿宋"/>
                <w:sz w:val="24"/>
                <w:szCs w:val="24"/>
              </w:rPr>
              <w:t>5</w:t>
            </w:r>
            <w:r>
              <w:rPr>
                <w:rFonts w:hint="eastAsia" w:ascii="仿宋" w:hAnsi="仿宋" w:eastAsia="仿宋"/>
                <w:sz w:val="24"/>
                <w:szCs w:val="24"/>
              </w:rPr>
              <w:t>名以下执业律师得</w:t>
            </w:r>
            <w:r>
              <w:rPr>
                <w:rFonts w:ascii="仿宋" w:hAnsi="仿宋" w:eastAsia="仿宋"/>
                <w:sz w:val="24"/>
                <w:szCs w:val="24"/>
              </w:rPr>
              <w:t>2</w:t>
            </w:r>
            <w:r>
              <w:rPr>
                <w:rFonts w:hint="eastAsia" w:ascii="仿宋" w:hAnsi="仿宋" w:eastAsia="仿宋"/>
                <w:sz w:val="24"/>
                <w:szCs w:val="24"/>
              </w:rPr>
              <w:t>分，未配备的不得分；</w:t>
            </w:r>
          </w:p>
        </w:tc>
        <w:tc>
          <w:tcPr>
            <w:tcW w:w="1078"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1236" w:type="dxa"/>
            <w:vMerge w:val="continue"/>
            <w:vAlign w:val="center"/>
          </w:tcPr>
          <w:p>
            <w:pPr>
              <w:jc w:val="center"/>
              <w:rPr>
                <w:rFonts w:ascii="仿宋" w:hAnsi="仿宋" w:eastAsia="仿宋"/>
                <w:sz w:val="24"/>
                <w:szCs w:val="24"/>
              </w:rPr>
            </w:pPr>
          </w:p>
        </w:tc>
        <w:tc>
          <w:tcPr>
            <w:tcW w:w="1877" w:type="dxa"/>
            <w:vMerge w:val="continue"/>
            <w:vAlign w:val="center"/>
          </w:tcPr>
          <w:p>
            <w:pPr>
              <w:jc w:val="center"/>
              <w:rPr>
                <w:rFonts w:ascii="仿宋" w:hAnsi="仿宋" w:eastAsia="仿宋"/>
                <w:sz w:val="24"/>
                <w:szCs w:val="24"/>
              </w:rPr>
            </w:pPr>
          </w:p>
        </w:tc>
        <w:tc>
          <w:tcPr>
            <w:tcW w:w="6007" w:type="dxa"/>
            <w:vMerge w:val="continue"/>
            <w:vAlign w:val="center"/>
          </w:tcPr>
          <w:p>
            <w:pPr>
              <w:pStyle w:val="10"/>
              <w:numPr>
                <w:ilvl w:val="0"/>
                <w:numId w:val="5"/>
              </w:numPr>
              <w:ind w:firstLineChars="0"/>
              <w:jc w:val="left"/>
              <w:rPr>
                <w:rFonts w:ascii="仿宋" w:hAnsi="仿宋" w:eastAsia="仿宋"/>
                <w:sz w:val="24"/>
                <w:szCs w:val="24"/>
              </w:rPr>
            </w:pPr>
          </w:p>
        </w:tc>
        <w:tc>
          <w:tcPr>
            <w:tcW w:w="1078"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4" w:hRule="atLeast"/>
        </w:trPr>
        <w:tc>
          <w:tcPr>
            <w:tcW w:w="3113" w:type="dxa"/>
            <w:gridSpan w:val="2"/>
            <w:vAlign w:val="center"/>
          </w:tcPr>
          <w:p>
            <w:pPr>
              <w:jc w:val="center"/>
              <w:rPr>
                <w:rFonts w:ascii="仿宋" w:hAnsi="仿宋" w:eastAsia="仿宋"/>
                <w:sz w:val="24"/>
                <w:szCs w:val="24"/>
              </w:rPr>
            </w:pPr>
            <w:r>
              <w:rPr>
                <w:rFonts w:hint="eastAsia" w:ascii="仿宋" w:hAnsi="仿宋" w:eastAsia="仿宋"/>
                <w:sz w:val="24"/>
                <w:szCs w:val="24"/>
              </w:rPr>
              <w:t>服务方案（</w:t>
            </w:r>
            <w:r>
              <w:rPr>
                <w:rFonts w:ascii="仿宋" w:hAnsi="仿宋" w:eastAsia="仿宋"/>
                <w:sz w:val="24"/>
                <w:szCs w:val="24"/>
              </w:rPr>
              <w:t>30</w:t>
            </w:r>
            <w:r>
              <w:rPr>
                <w:rFonts w:hint="eastAsia" w:ascii="仿宋" w:hAnsi="仿宋" w:eastAsia="仿宋"/>
                <w:sz w:val="24"/>
                <w:szCs w:val="24"/>
              </w:rPr>
              <w:t>分）</w:t>
            </w:r>
          </w:p>
        </w:tc>
        <w:tc>
          <w:tcPr>
            <w:tcW w:w="6007" w:type="dxa"/>
            <w:vAlign w:val="center"/>
          </w:tcPr>
          <w:p>
            <w:pPr>
              <w:pStyle w:val="10"/>
              <w:numPr>
                <w:ilvl w:val="0"/>
                <w:numId w:val="0"/>
              </w:numPr>
              <w:ind w:leftChars="0" w:firstLine="480" w:firstLineChars="200"/>
              <w:jc w:val="left"/>
              <w:rPr>
                <w:rFonts w:hint="default" w:ascii="仿宋" w:hAnsi="仿宋" w:eastAsia="仿宋"/>
                <w:sz w:val="24"/>
                <w:szCs w:val="24"/>
                <w:lang w:val="en-US" w:eastAsia="zh-CN"/>
              </w:rPr>
            </w:pPr>
            <w:r>
              <w:rPr>
                <w:rFonts w:hint="eastAsia" w:ascii="仿宋" w:hAnsi="仿宋" w:eastAsia="仿宋"/>
                <w:sz w:val="24"/>
                <w:szCs w:val="24"/>
              </w:rPr>
              <w:t>根据</w:t>
            </w:r>
            <w:r>
              <w:rPr>
                <w:rFonts w:hint="eastAsia" w:ascii="仿宋" w:hAnsi="仿宋" w:eastAsia="仿宋"/>
                <w:sz w:val="24"/>
                <w:szCs w:val="24"/>
                <w:lang w:val="en-US" w:eastAsia="zh-CN"/>
              </w:rPr>
              <w:t>比选对象</w:t>
            </w:r>
            <w:r>
              <w:rPr>
                <w:rFonts w:hint="eastAsia" w:ascii="仿宋" w:hAnsi="仿宋" w:eastAsia="仿宋"/>
                <w:sz w:val="24"/>
                <w:szCs w:val="24"/>
              </w:rPr>
              <w:t>提供的针对本项目提供服务方案包括但不限于①</w:t>
            </w:r>
            <w:r>
              <w:rPr>
                <w:rFonts w:hint="eastAsia" w:ascii="仿宋" w:hAnsi="仿宋" w:eastAsia="仿宋"/>
                <w:sz w:val="24"/>
                <w:szCs w:val="24"/>
                <w:lang w:val="en-US" w:eastAsia="zh-CN"/>
              </w:rPr>
              <w:t>服务内容；</w:t>
            </w:r>
            <w:r>
              <w:rPr>
                <w:rFonts w:hint="eastAsia" w:ascii="仿宋" w:hAnsi="仿宋" w:eastAsia="仿宋"/>
                <w:sz w:val="24"/>
                <w:szCs w:val="24"/>
              </w:rPr>
              <w:t>②</w:t>
            </w:r>
            <w:r>
              <w:rPr>
                <w:rFonts w:hint="eastAsia" w:ascii="仿宋" w:hAnsi="仿宋" w:eastAsia="仿宋"/>
                <w:sz w:val="24"/>
                <w:szCs w:val="24"/>
                <w:lang w:val="en-US" w:eastAsia="zh-CN"/>
              </w:rPr>
              <w:t>工作计划；</w:t>
            </w:r>
            <w:r>
              <w:rPr>
                <w:rFonts w:hint="eastAsia" w:ascii="仿宋" w:hAnsi="仿宋" w:eastAsia="仿宋"/>
                <w:sz w:val="24"/>
                <w:szCs w:val="24"/>
              </w:rPr>
              <w:t>③</w:t>
            </w:r>
            <w:r>
              <w:rPr>
                <w:rFonts w:hint="eastAsia" w:ascii="仿宋" w:hAnsi="仿宋" w:eastAsia="仿宋"/>
                <w:sz w:val="24"/>
                <w:szCs w:val="24"/>
                <w:lang w:val="en-US" w:eastAsia="zh-CN"/>
              </w:rPr>
              <w:t>工作步骤；</w:t>
            </w:r>
            <w:r>
              <w:rPr>
                <w:rFonts w:hint="eastAsia" w:ascii="仿宋" w:hAnsi="仿宋" w:eastAsia="仿宋"/>
                <w:sz w:val="24"/>
                <w:szCs w:val="24"/>
              </w:rPr>
              <w:t>④</w:t>
            </w:r>
            <w:r>
              <w:rPr>
                <w:rFonts w:hint="eastAsia" w:ascii="仿宋" w:hAnsi="仿宋" w:eastAsia="仿宋"/>
                <w:sz w:val="24"/>
                <w:szCs w:val="24"/>
                <w:lang w:val="en-US" w:eastAsia="zh-CN"/>
              </w:rPr>
              <w:t>工作特色和优势；</w:t>
            </w:r>
            <w:r>
              <w:rPr>
                <w:rFonts w:hint="eastAsia" w:ascii="仿宋" w:hAnsi="仿宋" w:eastAsia="仿宋"/>
                <w:sz w:val="24"/>
                <w:szCs w:val="24"/>
              </w:rPr>
              <w:t>⑤</w:t>
            </w:r>
            <w:r>
              <w:rPr>
                <w:rFonts w:hint="eastAsia" w:ascii="仿宋" w:hAnsi="仿宋" w:eastAsia="仿宋"/>
                <w:sz w:val="24"/>
                <w:szCs w:val="24"/>
                <w:lang w:val="en-US" w:eastAsia="zh-CN"/>
              </w:rPr>
              <w:t>对国有企业申报和发行公司债的重点难点进行分析；</w:t>
            </w:r>
            <w:r>
              <w:rPr>
                <w:rFonts w:hint="eastAsia" w:ascii="仿宋" w:hAnsi="仿宋" w:eastAsia="仿宋"/>
                <w:sz w:val="24"/>
                <w:szCs w:val="24"/>
              </w:rPr>
              <w:t>⑥</w:t>
            </w:r>
            <w:r>
              <w:rPr>
                <w:rFonts w:hint="eastAsia" w:ascii="仿宋" w:hAnsi="仿宋" w:eastAsia="仿宋"/>
                <w:sz w:val="24"/>
                <w:szCs w:val="24"/>
                <w:lang w:val="en-US" w:eastAsia="zh-CN"/>
              </w:rPr>
              <w:t>难点解决方案。</w:t>
            </w:r>
          </w:p>
          <w:p>
            <w:pPr>
              <w:pStyle w:val="10"/>
              <w:numPr>
                <w:ilvl w:val="0"/>
                <w:numId w:val="0"/>
              </w:numPr>
              <w:ind w:leftChars="0" w:firstLine="480" w:firstLineChars="200"/>
              <w:jc w:val="left"/>
              <w:rPr>
                <w:rFonts w:hint="eastAsia" w:ascii="仿宋" w:hAnsi="仿宋" w:eastAsia="仿宋"/>
                <w:sz w:val="24"/>
                <w:szCs w:val="24"/>
                <w:lang w:eastAsia="zh-CN"/>
              </w:rPr>
            </w:pPr>
            <w:r>
              <w:rPr>
                <w:rFonts w:hint="eastAsia" w:ascii="仿宋" w:hAnsi="仿宋" w:eastAsia="仿宋"/>
                <w:sz w:val="24"/>
                <w:szCs w:val="24"/>
              </w:rPr>
              <w:t>服务方案包含以上内容详细完整且完全满足本项目实施实际需求的得</w:t>
            </w:r>
            <w:r>
              <w:rPr>
                <w:rFonts w:hint="eastAsia" w:ascii="仿宋" w:hAnsi="仿宋" w:eastAsia="仿宋"/>
                <w:sz w:val="24"/>
                <w:szCs w:val="24"/>
                <w:lang w:val="en-US" w:eastAsia="zh-CN"/>
              </w:rPr>
              <w:t>3</w:t>
            </w:r>
            <w:r>
              <w:rPr>
                <w:rFonts w:hint="eastAsia" w:ascii="仿宋" w:hAnsi="仿宋" w:eastAsia="仿宋"/>
                <w:sz w:val="24"/>
                <w:szCs w:val="24"/>
              </w:rPr>
              <w:t>0分；每缺少一项扣</w:t>
            </w:r>
            <w:r>
              <w:rPr>
                <w:rFonts w:hint="eastAsia" w:ascii="仿宋" w:hAnsi="仿宋" w:eastAsia="仿宋"/>
                <w:sz w:val="24"/>
                <w:szCs w:val="24"/>
                <w:lang w:val="en-US" w:eastAsia="zh-CN"/>
              </w:rPr>
              <w:t>5</w:t>
            </w:r>
            <w:r>
              <w:rPr>
                <w:rFonts w:hint="eastAsia" w:ascii="仿宋" w:hAnsi="仿宋" w:eastAsia="仿宋"/>
                <w:sz w:val="24"/>
                <w:szCs w:val="24"/>
              </w:rPr>
              <w:t>分，每有一项不详细或不切合实际或不利于项目实施的扣</w:t>
            </w:r>
            <w:r>
              <w:rPr>
                <w:rFonts w:hint="eastAsia" w:ascii="仿宋" w:hAnsi="仿宋" w:eastAsia="仿宋"/>
                <w:sz w:val="24"/>
                <w:szCs w:val="24"/>
                <w:lang w:val="en-US" w:eastAsia="zh-CN"/>
              </w:rPr>
              <w:t>3</w:t>
            </w:r>
            <w:r>
              <w:rPr>
                <w:rFonts w:hint="eastAsia" w:ascii="仿宋" w:hAnsi="仿宋" w:eastAsia="仿宋"/>
                <w:sz w:val="24"/>
                <w:szCs w:val="24"/>
              </w:rPr>
              <w:t>分，扣完为止</w:t>
            </w:r>
            <w:r>
              <w:rPr>
                <w:rFonts w:hint="eastAsia" w:ascii="仿宋" w:hAnsi="仿宋" w:eastAsia="仿宋"/>
                <w:sz w:val="24"/>
                <w:szCs w:val="24"/>
                <w:lang w:eastAsia="zh-CN"/>
              </w:rPr>
              <w:t>。</w:t>
            </w:r>
          </w:p>
          <w:p>
            <w:pPr>
              <w:pStyle w:val="10"/>
              <w:numPr>
                <w:ilvl w:val="0"/>
                <w:numId w:val="0"/>
              </w:numPr>
              <w:ind w:leftChars="0"/>
              <w:rPr>
                <w:rFonts w:ascii="仿宋" w:hAnsi="仿宋" w:eastAsia="仿宋"/>
                <w:sz w:val="24"/>
                <w:szCs w:val="24"/>
              </w:rPr>
            </w:pPr>
          </w:p>
        </w:tc>
        <w:tc>
          <w:tcPr>
            <w:tcW w:w="1078"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trPr>
        <w:tc>
          <w:tcPr>
            <w:tcW w:w="3113" w:type="dxa"/>
            <w:gridSpan w:val="2"/>
            <w:vAlign w:val="center"/>
          </w:tcPr>
          <w:p>
            <w:pPr>
              <w:jc w:val="center"/>
              <w:rPr>
                <w:rFonts w:ascii="仿宋" w:hAnsi="仿宋" w:eastAsia="仿宋"/>
                <w:sz w:val="24"/>
                <w:szCs w:val="24"/>
              </w:rPr>
            </w:pPr>
            <w:r>
              <w:rPr>
                <w:rFonts w:hint="eastAsia" w:ascii="仿宋" w:hAnsi="仿宋" w:eastAsia="仿宋"/>
                <w:sz w:val="24"/>
                <w:szCs w:val="24"/>
              </w:rPr>
              <w:t>总分（100分）</w:t>
            </w:r>
          </w:p>
        </w:tc>
        <w:tc>
          <w:tcPr>
            <w:tcW w:w="6007" w:type="dxa"/>
            <w:vAlign w:val="center"/>
          </w:tcPr>
          <w:p>
            <w:pPr>
              <w:jc w:val="left"/>
              <w:rPr>
                <w:rFonts w:ascii="仿宋" w:hAnsi="仿宋" w:eastAsia="仿宋"/>
                <w:sz w:val="24"/>
                <w:szCs w:val="24"/>
              </w:rPr>
            </w:pPr>
          </w:p>
        </w:tc>
        <w:tc>
          <w:tcPr>
            <w:tcW w:w="1078" w:type="dxa"/>
            <w:vAlign w:val="center"/>
          </w:tcPr>
          <w:p>
            <w:pPr>
              <w:jc w:val="center"/>
              <w:rPr>
                <w:rFonts w:ascii="仿宋" w:hAnsi="仿宋" w:eastAsia="仿宋"/>
                <w:sz w:val="24"/>
                <w:szCs w:val="24"/>
              </w:rPr>
            </w:pPr>
          </w:p>
        </w:tc>
      </w:tr>
    </w:tbl>
    <w:p>
      <w:pPr>
        <w:ind w:firstLine="480" w:firstLineChars="200"/>
        <w:rPr>
          <w:rFonts w:hint="eastAsia"/>
          <w:sz w:val="24"/>
        </w:rPr>
      </w:pPr>
    </w:p>
    <w:p>
      <w:pPr>
        <w:ind w:firstLine="480" w:firstLineChars="200"/>
        <w:rPr>
          <w:rFonts w:hAnsi="宋体"/>
          <w:b/>
          <w:sz w:val="24"/>
        </w:rPr>
      </w:pPr>
      <w:r>
        <w:rPr>
          <w:rFonts w:hint="eastAsia"/>
          <w:sz w:val="24"/>
        </w:rPr>
        <w:t>注：评分的取值按四舍五入法，保留小数点后两位。</w:t>
      </w:r>
    </w:p>
    <w:p>
      <w:pPr>
        <w:pStyle w:val="4"/>
        <w:spacing w:after="120" w:line="415" w:lineRule="auto"/>
        <w:rPr>
          <w:rFonts w:ascii="宋体" w:hAnsi="宋体" w:eastAsia="宋体"/>
          <w:sz w:val="24"/>
        </w:rPr>
      </w:pPr>
      <w:r>
        <w:rPr>
          <w:rFonts w:ascii="宋体" w:hAnsi="宋体" w:eastAsia="宋体"/>
          <w:sz w:val="24"/>
        </w:rPr>
        <w:t>4.</w:t>
      </w:r>
      <w:r>
        <w:rPr>
          <w:rFonts w:hint="eastAsia" w:ascii="宋体" w:hAnsi="宋体" w:eastAsia="宋体"/>
          <w:sz w:val="24"/>
        </w:rPr>
        <w:t>比选纪律及注意事项</w:t>
      </w:r>
    </w:p>
    <w:p>
      <w:pPr>
        <w:tabs>
          <w:tab w:val="left" w:pos="851"/>
        </w:tabs>
        <w:spacing w:line="400" w:lineRule="exact"/>
        <w:ind w:firstLine="480" w:firstLineChars="200"/>
        <w:rPr>
          <w:rFonts w:hAnsi="宋体"/>
          <w:sz w:val="24"/>
        </w:rPr>
      </w:pPr>
      <w:r>
        <w:rPr>
          <w:rFonts w:hAnsi="宋体"/>
          <w:sz w:val="24"/>
        </w:rPr>
        <w:t>4.1</w:t>
      </w:r>
      <w:r>
        <w:rPr>
          <w:rFonts w:hint="eastAsia" w:hAnsi="宋体"/>
          <w:sz w:val="24"/>
        </w:rPr>
        <w:t>比选评审小组内部讨论的情况和意见必须保密，任何人不得以任何形式透露给供应商或与供应商有关的单位或个人。</w:t>
      </w:r>
    </w:p>
    <w:p>
      <w:pPr>
        <w:tabs>
          <w:tab w:val="left" w:pos="851"/>
        </w:tabs>
        <w:spacing w:line="400" w:lineRule="exact"/>
        <w:ind w:firstLine="480" w:firstLineChars="200"/>
        <w:rPr>
          <w:rFonts w:hAnsi="宋体"/>
          <w:sz w:val="24"/>
        </w:rPr>
      </w:pPr>
      <w:r>
        <w:rPr>
          <w:rFonts w:hAnsi="宋体"/>
          <w:sz w:val="24"/>
        </w:rPr>
        <w:t>4.2</w:t>
      </w:r>
      <w:r>
        <w:rPr>
          <w:rFonts w:hint="eastAsia" w:hAnsi="宋体"/>
          <w:sz w:val="24"/>
        </w:rPr>
        <w:t>在比选过程中，供应商不得以任何形式对比选评审小组成员进行旨在影响谈判结果的私下接触，否则将取消其参与比选的资格。</w:t>
      </w:r>
    </w:p>
    <w:p>
      <w:pPr>
        <w:tabs>
          <w:tab w:val="left" w:pos="851"/>
        </w:tabs>
        <w:spacing w:line="400" w:lineRule="exact"/>
        <w:ind w:firstLine="480" w:firstLineChars="200"/>
        <w:rPr>
          <w:rFonts w:hAnsi="宋体"/>
          <w:sz w:val="24"/>
        </w:rPr>
      </w:pPr>
      <w:r>
        <w:rPr>
          <w:rFonts w:hAnsi="宋体"/>
          <w:sz w:val="24"/>
        </w:rPr>
        <w:t>4.3</w:t>
      </w:r>
      <w:r>
        <w:rPr>
          <w:rFonts w:hint="eastAsia"/>
          <w:sz w:val="24"/>
        </w:rPr>
        <w:t>对各供应商的商业秘密，比选评审小组成员应予以保密，不得泄露给其他供应商。</w:t>
      </w:r>
    </w:p>
    <w:p>
      <w:pPr>
        <w:tabs>
          <w:tab w:val="left" w:pos="851"/>
        </w:tabs>
        <w:spacing w:line="400" w:lineRule="exact"/>
        <w:ind w:firstLine="480" w:firstLineChars="200"/>
        <w:rPr>
          <w:rFonts w:hAnsi="宋体"/>
          <w:sz w:val="24"/>
        </w:rPr>
      </w:pPr>
      <w:r>
        <w:rPr>
          <w:rFonts w:hAnsi="宋体"/>
          <w:sz w:val="24"/>
        </w:rPr>
        <w:t xml:space="preserve">4.4 </w:t>
      </w:r>
      <w:r>
        <w:rPr>
          <w:rFonts w:hint="eastAsia" w:hAnsi="宋体"/>
          <w:sz w:val="24"/>
        </w:rPr>
        <w:t>比选评审小组独立评判，推荐成交候选人，并写出书面报告。</w:t>
      </w:r>
    </w:p>
    <w:p>
      <w:pPr>
        <w:tabs>
          <w:tab w:val="left" w:pos="851"/>
        </w:tabs>
        <w:spacing w:line="400" w:lineRule="exact"/>
        <w:ind w:firstLine="480" w:firstLineChars="200"/>
        <w:rPr>
          <w:sz w:val="24"/>
        </w:rPr>
      </w:pPr>
      <w:r>
        <w:rPr>
          <w:rFonts w:hAnsi="宋体"/>
          <w:sz w:val="24"/>
        </w:rPr>
        <w:t xml:space="preserve">4.5 </w:t>
      </w:r>
      <w:r>
        <w:rPr>
          <w:rFonts w:hint="eastAsia" w:hAnsi="宋体"/>
          <w:sz w:val="24"/>
        </w:rPr>
        <w:t>比选评审小组可根据需要对供应商进行实地考察。</w:t>
      </w:r>
    </w:p>
    <w:p>
      <w:pPr>
        <w:pStyle w:val="4"/>
        <w:spacing w:after="120" w:line="415" w:lineRule="auto"/>
        <w:rPr>
          <w:rFonts w:ascii="宋体" w:hAnsi="宋体" w:eastAsia="宋体"/>
          <w:sz w:val="24"/>
        </w:rPr>
      </w:pPr>
      <w:r>
        <w:rPr>
          <w:rFonts w:ascii="宋体" w:hAnsi="宋体" w:eastAsia="宋体"/>
          <w:sz w:val="24"/>
        </w:rPr>
        <w:t>5.</w:t>
      </w:r>
      <w:r>
        <w:rPr>
          <w:rFonts w:hint="eastAsia" w:ascii="宋体" w:hAnsi="宋体" w:eastAsia="宋体"/>
          <w:sz w:val="24"/>
        </w:rPr>
        <w:t>比选评审小组在采购活动中承担以下义务：</w:t>
      </w:r>
    </w:p>
    <w:p>
      <w:pPr>
        <w:tabs>
          <w:tab w:val="left" w:pos="7665"/>
        </w:tabs>
        <w:spacing w:line="400" w:lineRule="exact"/>
        <w:ind w:firstLine="480" w:firstLineChars="200"/>
        <w:rPr>
          <w:rFonts w:hAnsi="宋体"/>
          <w:sz w:val="24"/>
        </w:rPr>
      </w:pPr>
      <w:r>
        <w:rPr>
          <w:rFonts w:hint="eastAsia" w:hAnsi="宋体"/>
          <w:sz w:val="24"/>
        </w:rPr>
        <w:t>（一）遵守评审工作纪律；</w:t>
      </w:r>
    </w:p>
    <w:p>
      <w:pPr>
        <w:tabs>
          <w:tab w:val="left" w:pos="7665"/>
        </w:tabs>
        <w:spacing w:line="400" w:lineRule="exact"/>
        <w:ind w:firstLine="480" w:firstLineChars="200"/>
        <w:rPr>
          <w:rFonts w:hAnsi="宋体"/>
          <w:sz w:val="24"/>
        </w:rPr>
      </w:pPr>
      <w:r>
        <w:rPr>
          <w:rFonts w:hint="eastAsia" w:hAnsi="宋体"/>
          <w:sz w:val="24"/>
        </w:rPr>
        <w:t>（二）按照客观、公正、审慎的原则，根据比选文件规定的评审程序、评审方法和评审标准进行独立评审；</w:t>
      </w:r>
    </w:p>
    <w:p>
      <w:pPr>
        <w:tabs>
          <w:tab w:val="left" w:pos="7665"/>
        </w:tabs>
        <w:spacing w:line="400" w:lineRule="exact"/>
        <w:ind w:firstLine="480" w:firstLineChars="200"/>
        <w:rPr>
          <w:rFonts w:hAnsi="宋体"/>
          <w:sz w:val="24"/>
        </w:rPr>
      </w:pPr>
      <w:r>
        <w:rPr>
          <w:rFonts w:hint="eastAsia" w:hAnsi="宋体"/>
          <w:sz w:val="24"/>
        </w:rPr>
        <w:t>（三）不得泄露评审文件、评审情况和在评审过程中获悉的商业秘密；</w:t>
      </w:r>
    </w:p>
    <w:p>
      <w:pPr>
        <w:tabs>
          <w:tab w:val="left" w:pos="7665"/>
        </w:tabs>
        <w:spacing w:line="400" w:lineRule="exact"/>
        <w:ind w:firstLine="480" w:firstLineChars="200"/>
        <w:rPr>
          <w:rFonts w:hAnsi="宋体"/>
          <w:sz w:val="24"/>
        </w:rPr>
      </w:pPr>
      <w:r>
        <w:rPr>
          <w:rFonts w:hint="eastAsia" w:hAnsi="宋体"/>
          <w:sz w:val="24"/>
        </w:rPr>
        <w:t>（四）及时报告评审过程中发现的采购人向评审专家做倾向性、误导性的解释或者说明，以及供应商行贿、提供虚假材料或者串通等违法行为；</w:t>
      </w:r>
    </w:p>
    <w:p>
      <w:pPr>
        <w:tabs>
          <w:tab w:val="left" w:pos="7665"/>
        </w:tabs>
        <w:spacing w:line="400" w:lineRule="exact"/>
        <w:ind w:firstLine="480" w:firstLineChars="200"/>
        <w:rPr>
          <w:rFonts w:hAnsi="宋体"/>
          <w:sz w:val="24"/>
        </w:rPr>
      </w:pPr>
      <w:r>
        <w:rPr>
          <w:rFonts w:hint="eastAsia" w:hAnsi="宋体"/>
          <w:sz w:val="24"/>
        </w:rPr>
        <w:t>（五）发现比选文件内容违反国家有关强制性规定或者比选文件存在歧义、重大缺陷导致评审工作无法进行时，停止评审并向采购人书面说明情况；</w:t>
      </w:r>
    </w:p>
    <w:p>
      <w:pPr>
        <w:tabs>
          <w:tab w:val="left" w:pos="7665"/>
        </w:tabs>
        <w:spacing w:line="400" w:lineRule="exact"/>
        <w:ind w:firstLine="480" w:firstLineChars="200"/>
        <w:rPr>
          <w:rFonts w:hAnsi="宋体"/>
          <w:sz w:val="24"/>
        </w:rPr>
      </w:pPr>
      <w:r>
        <w:rPr>
          <w:rFonts w:hint="eastAsia" w:hAnsi="宋体"/>
          <w:sz w:val="24"/>
        </w:rPr>
        <w:t>（六）及时举报在评审过程中受到非法干预的情况；</w:t>
      </w:r>
    </w:p>
    <w:p>
      <w:pPr>
        <w:tabs>
          <w:tab w:val="left" w:pos="7665"/>
        </w:tabs>
        <w:spacing w:line="400" w:lineRule="exact"/>
        <w:ind w:firstLine="480" w:firstLineChars="200"/>
        <w:rPr>
          <w:rFonts w:hAnsi="宋体"/>
          <w:sz w:val="24"/>
        </w:rPr>
      </w:pPr>
      <w:r>
        <w:rPr>
          <w:rFonts w:hint="eastAsia" w:hAnsi="宋体"/>
          <w:sz w:val="24"/>
        </w:rPr>
        <w:t>（七）配合答复处理供应商的询问、质疑等事项；</w:t>
      </w:r>
    </w:p>
    <w:p>
      <w:pPr>
        <w:tabs>
          <w:tab w:val="left" w:pos="7665"/>
        </w:tabs>
        <w:spacing w:line="400" w:lineRule="exact"/>
        <w:ind w:firstLine="480" w:firstLineChars="200"/>
        <w:rPr>
          <w:rFonts w:hAnsi="宋体"/>
          <w:sz w:val="24"/>
        </w:rPr>
      </w:pPr>
      <w:r>
        <w:rPr>
          <w:rFonts w:hint="eastAsia" w:hAnsi="宋体"/>
          <w:sz w:val="24"/>
        </w:rPr>
        <w:t>（八）法律、法规和规章规定的其他义务。</w:t>
      </w:r>
    </w:p>
    <w:p>
      <w:pPr>
        <w:pStyle w:val="4"/>
        <w:spacing w:after="120" w:line="415" w:lineRule="auto"/>
        <w:rPr>
          <w:rFonts w:ascii="宋体" w:hAnsi="宋体" w:eastAsia="宋体"/>
          <w:sz w:val="24"/>
        </w:rPr>
      </w:pPr>
      <w:r>
        <w:rPr>
          <w:rFonts w:ascii="宋体" w:hAnsi="宋体" w:eastAsia="宋体"/>
          <w:sz w:val="24"/>
        </w:rPr>
        <w:t>6.</w:t>
      </w:r>
      <w:r>
        <w:rPr>
          <w:rFonts w:hint="eastAsia" w:ascii="宋体" w:hAnsi="宋体" w:eastAsia="宋体"/>
          <w:sz w:val="24"/>
        </w:rPr>
        <w:t>评审专家在采购活动中应当遵守以下工作纪律：</w:t>
      </w:r>
    </w:p>
    <w:p>
      <w:pPr>
        <w:tabs>
          <w:tab w:val="left" w:pos="7665"/>
        </w:tabs>
        <w:spacing w:line="400" w:lineRule="exact"/>
        <w:ind w:firstLine="480" w:firstLineChars="200"/>
        <w:rPr>
          <w:rFonts w:hAnsi="宋体"/>
          <w:sz w:val="24"/>
        </w:rPr>
      </w:pPr>
      <w:r>
        <w:rPr>
          <w:rFonts w:hint="eastAsia" w:hAnsi="宋体"/>
          <w:sz w:val="24"/>
        </w:rPr>
        <w:t>（一）不得参加与自己有利害关系的采购项目的评标活动。发现参加了与自己有利害关系的评审活动，须主动提出回避，退出评审；</w:t>
      </w:r>
    </w:p>
    <w:p>
      <w:pPr>
        <w:tabs>
          <w:tab w:val="left" w:pos="7665"/>
        </w:tabs>
        <w:spacing w:line="400" w:lineRule="exact"/>
        <w:ind w:firstLine="480" w:firstLineChars="200"/>
        <w:rPr>
          <w:rFonts w:hAnsi="宋体"/>
          <w:sz w:val="24"/>
        </w:rPr>
      </w:pPr>
      <w:r>
        <w:rPr>
          <w:rFonts w:hint="eastAsia" w:hAnsi="宋体"/>
          <w:sz w:val="24"/>
        </w:rPr>
        <w:t>（二）评审前，应当将通讯工具或者相关电子设备交由采购人统一保管；</w:t>
      </w:r>
    </w:p>
    <w:p>
      <w:pPr>
        <w:tabs>
          <w:tab w:val="left" w:pos="7665"/>
        </w:tabs>
        <w:spacing w:line="400" w:lineRule="exact"/>
        <w:ind w:firstLine="480" w:firstLineChars="200"/>
        <w:rPr>
          <w:rFonts w:hAnsi="宋体"/>
          <w:sz w:val="24"/>
        </w:rPr>
      </w:pPr>
      <w:r>
        <w:rPr>
          <w:rFonts w:hint="eastAsia" w:hAnsi="宋体"/>
          <w:sz w:val="24"/>
        </w:rPr>
        <w:t>（三）评审过程中，不得与外界联系，因发生不可预见情况，确实需要与外界联系的，应当在监督人员监督之下办理；</w:t>
      </w:r>
    </w:p>
    <w:p>
      <w:pPr>
        <w:tabs>
          <w:tab w:val="left" w:pos="7665"/>
        </w:tabs>
        <w:spacing w:line="400" w:lineRule="exact"/>
        <w:ind w:firstLine="480" w:firstLineChars="200"/>
        <w:rPr>
          <w:rFonts w:hAnsi="宋体"/>
          <w:sz w:val="24"/>
        </w:rPr>
      </w:pPr>
      <w:r>
        <w:rPr>
          <w:rFonts w:hint="eastAsia" w:hAnsi="宋体"/>
          <w:sz w:val="24"/>
        </w:rPr>
        <w:t>（四）评审过程中，不得发表影响评审公正的倾向性、歧视性言论，不得征询或者接受采购人的倾向性意见，不得明示或暗示供应商在澄清时表达与其响应文件原义不同的意见，不得以比选文件没有规定的评审方法和标准作为评审的依据，不得修改或者细化评审程序、评审方法、评审因素和评审标准，不得违规撰写评审意见，不得拒绝对自己的评审意见签字确认；</w:t>
      </w:r>
    </w:p>
    <w:p>
      <w:pPr>
        <w:tabs>
          <w:tab w:val="left" w:pos="7665"/>
        </w:tabs>
        <w:spacing w:line="400" w:lineRule="exact"/>
        <w:ind w:firstLine="480" w:firstLineChars="200"/>
        <w:rPr>
          <w:rFonts w:hAnsi="宋体"/>
          <w:sz w:val="24"/>
        </w:rPr>
      </w:pPr>
      <w:r>
        <w:rPr>
          <w:rFonts w:hint="eastAsia" w:hAnsi="宋体"/>
          <w:sz w:val="24"/>
        </w:rPr>
        <w:t>（五）在评审过程中和评审结束后，不得记录、复制或带走任何评审资料，不得向外界透露评审内容；</w:t>
      </w:r>
    </w:p>
    <w:p>
      <w:pPr>
        <w:tabs>
          <w:tab w:val="left" w:pos="7665"/>
        </w:tabs>
        <w:spacing w:line="400" w:lineRule="exact"/>
        <w:ind w:firstLine="480" w:firstLineChars="200"/>
        <w:rPr>
          <w:rFonts w:hAnsi="宋体"/>
          <w:sz w:val="24"/>
        </w:rPr>
      </w:pPr>
      <w:r>
        <w:rPr>
          <w:rFonts w:hint="eastAsia" w:hAnsi="宋体"/>
          <w:sz w:val="24"/>
        </w:rPr>
        <w:t>（六）评审现场服从采购人工作人员的管理，接受现场监督人员的监督；</w:t>
      </w:r>
    </w:p>
    <w:p>
      <w:pPr>
        <w:tabs>
          <w:tab w:val="left" w:pos="7665"/>
        </w:tabs>
        <w:spacing w:line="400" w:lineRule="exact"/>
        <w:ind w:firstLine="480" w:firstLineChars="200"/>
        <w:rPr>
          <w:rFonts w:hint="eastAsia"/>
          <w:sz w:val="36"/>
          <w:szCs w:val="36"/>
        </w:rPr>
      </w:pPr>
      <w:r>
        <w:rPr>
          <w:rFonts w:hint="eastAsia" w:hAnsi="宋体"/>
          <w:sz w:val="24"/>
        </w:rPr>
        <w:t>（七）遵守有关廉洁自律规定，不得私下接触供应商，不得收受供应商及有关业务单位和个人的财物或好处，不得接受采购人的请托。</w:t>
      </w:r>
      <w:bookmarkStart w:id="2" w:name="_Toc943"/>
      <w:bookmarkEnd w:id="2"/>
    </w:p>
    <w:p>
      <w:pPr>
        <w:pStyle w:val="3"/>
        <w:pageBreakBefore/>
        <w:spacing w:line="360" w:lineRule="auto"/>
        <w:jc w:val="center"/>
        <w:rPr>
          <w:sz w:val="36"/>
          <w:szCs w:val="36"/>
        </w:rPr>
      </w:pPr>
      <w:r>
        <w:rPr>
          <w:rFonts w:hint="eastAsia"/>
          <w:sz w:val="36"/>
          <w:szCs w:val="36"/>
        </w:rPr>
        <w:t>第十章 合同样本</w:t>
      </w:r>
    </w:p>
    <w:p>
      <w:pPr>
        <w:jc w:val="center"/>
        <w:rPr>
          <w:sz w:val="18"/>
          <w:szCs w:val="18"/>
        </w:rPr>
      </w:pPr>
      <w:r>
        <w:rPr>
          <w:rFonts w:hint="eastAsia"/>
          <w:sz w:val="18"/>
          <w:szCs w:val="18"/>
        </w:rPr>
        <w:t>（本合同为合同主要条款，具体条款以实际签订为准，但不得与比选文件实质性内容相违背）</w:t>
      </w:r>
    </w:p>
    <w:p>
      <w:pPr>
        <w:spacing w:before="231" w:beforeLines="50" w:line="360" w:lineRule="exact"/>
        <w:jc w:val="center"/>
        <w:rPr>
          <w:rFonts w:eastAsia="楷体"/>
          <w:b/>
          <w:sz w:val="36"/>
          <w:szCs w:val="36"/>
        </w:rPr>
      </w:pPr>
      <w:r>
        <w:rPr>
          <w:rFonts w:eastAsia="楷体"/>
          <w:b/>
          <w:sz w:val="36"/>
          <w:szCs w:val="36"/>
        </w:rPr>
        <w:t>专项法律服务合同</w:t>
      </w:r>
    </w:p>
    <w:p>
      <w:pPr>
        <w:spacing w:before="231" w:beforeLines="50" w:line="360" w:lineRule="exact"/>
        <w:ind w:left="3700" w:leftChars="230" w:hanging="2918" w:hangingChars="1211"/>
        <w:rPr>
          <w:rFonts w:eastAsia="楷体"/>
          <w:sz w:val="24"/>
        </w:rPr>
      </w:pPr>
      <w:r>
        <w:rPr>
          <w:rFonts w:eastAsia="楷体"/>
          <w:b/>
          <w:sz w:val="24"/>
        </w:rPr>
        <w:t>委托人</w:t>
      </w:r>
      <w:r>
        <w:rPr>
          <w:rFonts w:eastAsia="楷体"/>
          <w:sz w:val="24"/>
        </w:rPr>
        <w:t xml:space="preserve">（以下简称甲方）： </w:t>
      </w:r>
    </w:p>
    <w:p>
      <w:pPr>
        <w:spacing w:before="231" w:beforeLines="50" w:line="360" w:lineRule="exact"/>
        <w:ind w:left="1998" w:leftChars="229" w:hanging="1219" w:hangingChars="508"/>
        <w:rPr>
          <w:rFonts w:eastAsia="楷体"/>
          <w:sz w:val="24"/>
        </w:rPr>
      </w:pPr>
      <w:r>
        <w:rPr>
          <w:rFonts w:eastAsia="楷体"/>
          <w:sz w:val="24"/>
        </w:rPr>
        <w:t>法定地址：</w:t>
      </w:r>
    </w:p>
    <w:p>
      <w:pPr>
        <w:spacing w:before="231" w:beforeLines="50" w:line="360" w:lineRule="exact"/>
        <w:ind w:left="1998" w:leftChars="229" w:hanging="1219" w:hangingChars="508"/>
        <w:rPr>
          <w:rFonts w:eastAsia="楷体"/>
          <w:sz w:val="24"/>
        </w:rPr>
      </w:pPr>
      <w:r>
        <w:rPr>
          <w:rFonts w:eastAsia="楷体"/>
          <w:sz w:val="24"/>
        </w:rPr>
        <w:t>联系电话：</w:t>
      </w:r>
    </w:p>
    <w:p>
      <w:pPr>
        <w:spacing w:before="231" w:beforeLines="50" w:line="360" w:lineRule="exact"/>
        <w:ind w:left="1998" w:leftChars="229" w:hanging="1219" w:hangingChars="508"/>
        <w:rPr>
          <w:rFonts w:eastAsia="楷体"/>
          <w:sz w:val="24"/>
        </w:rPr>
      </w:pPr>
      <w:r>
        <w:rPr>
          <w:rFonts w:eastAsia="楷体"/>
          <w:sz w:val="24"/>
        </w:rPr>
        <w:t>传    真：</w:t>
      </w:r>
    </w:p>
    <w:p>
      <w:pPr>
        <w:spacing w:before="231" w:beforeLines="50" w:line="360" w:lineRule="exact"/>
        <w:ind w:firstLine="480" w:firstLineChars="200"/>
        <w:rPr>
          <w:rFonts w:eastAsia="楷体"/>
          <w:sz w:val="24"/>
        </w:rPr>
      </w:pPr>
    </w:p>
    <w:p>
      <w:pPr>
        <w:spacing w:before="231" w:beforeLines="50" w:line="360" w:lineRule="exact"/>
        <w:ind w:left="3560" w:leftChars="230" w:hanging="2778" w:hangingChars="1153"/>
        <w:rPr>
          <w:rFonts w:eastAsia="楷体"/>
          <w:sz w:val="24"/>
        </w:rPr>
      </w:pPr>
      <w:r>
        <w:rPr>
          <w:rFonts w:eastAsia="楷体"/>
          <w:b/>
          <w:sz w:val="24"/>
        </w:rPr>
        <w:t>受托人</w:t>
      </w:r>
      <w:r>
        <w:rPr>
          <w:rFonts w:eastAsia="楷体"/>
          <w:sz w:val="24"/>
        </w:rPr>
        <w:t>（以下简称乙方）：</w:t>
      </w:r>
    </w:p>
    <w:p>
      <w:pPr>
        <w:spacing w:before="231" w:beforeLines="50" w:line="360" w:lineRule="exact"/>
        <w:ind w:left="1998" w:leftChars="229" w:hanging="1219" w:hangingChars="508"/>
        <w:rPr>
          <w:rFonts w:eastAsia="楷体"/>
          <w:sz w:val="24"/>
        </w:rPr>
      </w:pPr>
      <w:r>
        <w:rPr>
          <w:rFonts w:eastAsia="楷体"/>
          <w:sz w:val="24"/>
        </w:rPr>
        <w:t>法定地址：</w:t>
      </w:r>
    </w:p>
    <w:p>
      <w:pPr>
        <w:spacing w:before="231" w:beforeLines="50" w:line="360" w:lineRule="exact"/>
        <w:ind w:left="1998" w:leftChars="229" w:hanging="1219" w:hangingChars="508"/>
        <w:rPr>
          <w:rFonts w:eastAsia="楷体"/>
          <w:sz w:val="24"/>
        </w:rPr>
      </w:pPr>
      <w:r>
        <w:rPr>
          <w:rFonts w:eastAsia="楷体"/>
          <w:sz w:val="24"/>
        </w:rPr>
        <w:t>邮政编码：</w:t>
      </w:r>
    </w:p>
    <w:p>
      <w:pPr>
        <w:spacing w:before="231" w:beforeLines="50" w:line="360" w:lineRule="exact"/>
        <w:ind w:left="1998" w:leftChars="229" w:hanging="1219" w:hangingChars="508"/>
        <w:rPr>
          <w:rFonts w:eastAsia="楷体"/>
          <w:sz w:val="24"/>
        </w:rPr>
      </w:pPr>
      <w:r>
        <w:rPr>
          <w:rFonts w:eastAsia="楷体"/>
          <w:sz w:val="24"/>
        </w:rPr>
        <w:t>联系电话：</w:t>
      </w:r>
    </w:p>
    <w:p>
      <w:pPr>
        <w:spacing w:before="231" w:beforeLines="50" w:line="360" w:lineRule="exact"/>
        <w:ind w:left="1998" w:leftChars="229" w:hanging="1219" w:hangingChars="508"/>
        <w:rPr>
          <w:rFonts w:eastAsia="楷体"/>
          <w:sz w:val="24"/>
        </w:rPr>
      </w:pPr>
      <w:r>
        <w:rPr>
          <w:rFonts w:eastAsia="楷体"/>
          <w:sz w:val="24"/>
        </w:rPr>
        <w:t>传    真：</w:t>
      </w:r>
    </w:p>
    <w:p>
      <w:pPr>
        <w:spacing w:before="231" w:beforeLines="50" w:line="360" w:lineRule="exact"/>
        <w:ind w:firstLine="480" w:firstLineChars="200"/>
        <w:rPr>
          <w:rFonts w:eastAsia="楷体"/>
          <w:sz w:val="24"/>
        </w:rPr>
      </w:pPr>
    </w:p>
    <w:p>
      <w:pPr>
        <w:spacing w:before="231" w:beforeLines="50" w:line="360" w:lineRule="exact"/>
        <w:ind w:firstLine="482" w:firstLineChars="200"/>
        <w:rPr>
          <w:rFonts w:eastAsia="楷体"/>
          <w:b/>
          <w:color w:val="000000"/>
          <w:sz w:val="24"/>
          <w:u w:color="FFFFFF"/>
        </w:rPr>
      </w:pPr>
      <w:r>
        <w:rPr>
          <w:rFonts w:eastAsia="楷体"/>
          <w:b/>
          <w:color w:val="000000"/>
          <w:sz w:val="24"/>
          <w:u w:color="FFFFFF"/>
        </w:rPr>
        <w:t>鉴于：</w:t>
      </w:r>
    </w:p>
    <w:p>
      <w:pPr>
        <w:numPr>
          <w:ilvl w:val="0"/>
          <w:numId w:val="6"/>
        </w:numPr>
        <w:spacing w:before="231" w:beforeLines="50" w:line="360" w:lineRule="exact"/>
        <w:ind w:left="0" w:firstLine="480"/>
        <w:rPr>
          <w:rFonts w:eastAsia="楷体"/>
          <w:color w:val="000000"/>
          <w:sz w:val="24"/>
          <w:u w:color="FFFFFF"/>
        </w:rPr>
      </w:pPr>
      <w:r>
        <w:rPr>
          <w:rFonts w:eastAsia="楷体"/>
          <w:color w:val="000000"/>
          <w:sz w:val="24"/>
          <w:u w:color="FFFFFF"/>
        </w:rPr>
        <w:t>甲方是一家在中华人民共和国境内经合法注册、有效运营的公司；</w:t>
      </w:r>
    </w:p>
    <w:p>
      <w:pPr>
        <w:numPr>
          <w:ilvl w:val="0"/>
          <w:numId w:val="6"/>
        </w:numPr>
        <w:spacing w:before="231" w:beforeLines="50" w:line="360" w:lineRule="exact"/>
        <w:ind w:left="0" w:firstLine="480"/>
        <w:rPr>
          <w:rFonts w:eastAsia="楷体"/>
          <w:color w:val="000000"/>
          <w:sz w:val="24"/>
          <w:u w:color="FFFFFF"/>
        </w:rPr>
      </w:pPr>
      <w:r>
        <w:rPr>
          <w:rFonts w:eastAsia="楷体"/>
          <w:color w:val="000000"/>
          <w:sz w:val="24"/>
          <w:u w:color="FFFFFF"/>
        </w:rPr>
        <w:t>乙方是一家在中华人民共和国境内经合法注册登记成立的提供律师法律服务的大型的特殊普通合伙制律师事务所；</w:t>
      </w:r>
    </w:p>
    <w:p>
      <w:pPr>
        <w:numPr>
          <w:ilvl w:val="0"/>
          <w:numId w:val="6"/>
        </w:numPr>
        <w:spacing w:before="231" w:beforeLines="50" w:line="360" w:lineRule="exact"/>
        <w:ind w:left="0" w:firstLine="480"/>
        <w:rPr>
          <w:rFonts w:eastAsia="楷体"/>
          <w:color w:val="000000"/>
          <w:sz w:val="24"/>
          <w:u w:color="FFFFFF"/>
        </w:rPr>
      </w:pPr>
      <w:r>
        <w:rPr>
          <w:rFonts w:eastAsia="楷体"/>
          <w:color w:val="000000"/>
          <w:sz w:val="24"/>
          <w:u w:color="FFFFFF"/>
        </w:rPr>
        <w:t>甲方就</w:t>
      </w:r>
      <w:r>
        <w:rPr>
          <w:rFonts w:eastAsia="楷体"/>
          <w:color w:val="000000"/>
          <w:sz w:val="24"/>
          <w:u w:val="single"/>
        </w:rPr>
        <w:t xml:space="preserve">          </w:t>
      </w:r>
      <w:r>
        <w:rPr>
          <w:rFonts w:eastAsia="楷体"/>
          <w:color w:val="000000"/>
          <w:sz w:val="24"/>
          <w:u w:color="FFFFFF"/>
        </w:rPr>
        <w:t>事宜拟在中华人民共和国境内聘请一家具有合法执业资格的律师事务所为甲方提供专项法律服务。</w:t>
      </w:r>
    </w:p>
    <w:p>
      <w:pPr>
        <w:spacing w:before="231" w:beforeLines="50" w:line="360" w:lineRule="exact"/>
        <w:ind w:firstLine="480" w:firstLineChars="200"/>
        <w:rPr>
          <w:rFonts w:eastAsia="楷体"/>
          <w:sz w:val="24"/>
        </w:rPr>
      </w:pPr>
      <w:r>
        <w:rPr>
          <w:rFonts w:eastAsia="楷体"/>
          <w:sz w:val="24"/>
        </w:rPr>
        <w:t>双方本着平等协商的原则，就甲方委托乙方提供所需专项法律服务事宜达成协议：</w:t>
      </w:r>
    </w:p>
    <w:p>
      <w:pPr>
        <w:numPr>
          <w:ilvl w:val="0"/>
          <w:numId w:val="7"/>
        </w:numPr>
        <w:tabs>
          <w:tab w:val="left" w:pos="470"/>
        </w:tabs>
        <w:spacing w:before="231" w:beforeLines="50" w:line="360" w:lineRule="exact"/>
        <w:ind w:left="0" w:firstLine="470"/>
        <w:rPr>
          <w:rFonts w:eastAsia="楷体"/>
          <w:sz w:val="24"/>
        </w:rPr>
      </w:pPr>
      <w:r>
        <w:rPr>
          <w:rFonts w:hint="eastAsia" w:eastAsia="楷体"/>
          <w:color w:val="000000"/>
          <w:sz w:val="24"/>
          <w:u w:color="FFFFFF"/>
        </w:rPr>
        <w:t>项目概况</w:t>
      </w:r>
    </w:p>
    <w:p>
      <w:pPr>
        <w:spacing w:before="231" w:beforeLines="50" w:line="360" w:lineRule="exact"/>
        <w:ind w:firstLine="480" w:firstLineChars="200"/>
        <w:rPr>
          <w:rFonts w:eastAsia="楷体"/>
          <w:sz w:val="24"/>
        </w:rPr>
      </w:pPr>
      <w:r>
        <w:rPr>
          <w:rFonts w:eastAsia="楷体"/>
          <w:sz w:val="24"/>
        </w:rPr>
        <w:t xml:space="preserve"> </w:t>
      </w:r>
    </w:p>
    <w:p>
      <w:pPr>
        <w:numPr>
          <w:ilvl w:val="0"/>
          <w:numId w:val="7"/>
        </w:numPr>
        <w:tabs>
          <w:tab w:val="left" w:pos="470"/>
        </w:tabs>
        <w:spacing w:before="231" w:beforeLines="50" w:line="360" w:lineRule="exact"/>
        <w:ind w:left="0" w:firstLine="470"/>
        <w:rPr>
          <w:rFonts w:eastAsia="楷体"/>
          <w:sz w:val="24"/>
        </w:rPr>
      </w:pPr>
      <w:r>
        <w:rPr>
          <w:rFonts w:eastAsia="楷体"/>
          <w:color w:val="000000"/>
          <w:sz w:val="24"/>
          <w:u w:color="FFFFFF"/>
        </w:rPr>
        <w:t>乙方接受甲方的委托，根据甲方意见及委托事项具体情况，乙方安排</w:t>
      </w:r>
      <w:r>
        <w:rPr>
          <w:rFonts w:eastAsia="楷体"/>
          <w:sz w:val="24"/>
        </w:rPr>
        <w:t>本所</w:t>
      </w:r>
      <w:r>
        <w:rPr>
          <w:rFonts w:eastAsia="楷体"/>
          <w:sz w:val="24"/>
          <w:u w:val="single"/>
        </w:rPr>
        <w:t xml:space="preserve">  </w:t>
      </w:r>
      <w:r>
        <w:rPr>
          <w:rFonts w:hint="eastAsia" w:eastAsia="楷体"/>
          <w:sz w:val="24"/>
          <w:u w:val="single"/>
        </w:rPr>
        <w:t xml:space="preserve"> </w:t>
      </w:r>
      <w:r>
        <w:rPr>
          <w:rFonts w:eastAsia="楷体"/>
          <w:sz w:val="24"/>
          <w:u w:val="single"/>
        </w:rPr>
        <w:t xml:space="preserve">   </w:t>
      </w:r>
      <w:r>
        <w:rPr>
          <w:rFonts w:eastAsia="楷体"/>
          <w:sz w:val="24"/>
        </w:rPr>
        <w:t>律师为甲方本合同项下法律事务提供如下专项法律服务</w:t>
      </w:r>
      <w:r>
        <w:rPr>
          <w:rFonts w:hint="eastAsia" w:eastAsia="楷体"/>
          <w:sz w:val="24"/>
        </w:rPr>
        <w:t>：</w:t>
      </w:r>
    </w:p>
    <w:p>
      <w:pPr>
        <w:spacing w:before="231" w:beforeLines="50" w:line="360" w:lineRule="exact"/>
        <w:ind w:firstLine="480" w:firstLineChars="200"/>
        <w:rPr>
          <w:rFonts w:hint="eastAsia" w:eastAsia="楷体"/>
          <w:sz w:val="24"/>
        </w:rPr>
      </w:pPr>
      <w:r>
        <w:rPr>
          <w:rFonts w:hint="eastAsia" w:eastAsia="楷体"/>
          <w:sz w:val="24"/>
        </w:rPr>
        <w:t>专项法律服务的服务范围应当包括但不限于以下内容：</w:t>
      </w:r>
    </w:p>
    <w:p>
      <w:pPr>
        <w:spacing w:before="231" w:beforeLines="50" w:line="360" w:lineRule="exact"/>
        <w:ind w:firstLine="480" w:firstLineChars="200"/>
        <w:rPr>
          <w:rFonts w:hint="default" w:eastAsia="楷体"/>
          <w:lang w:val="en-US" w:eastAsia="zh-CN"/>
        </w:rPr>
      </w:pPr>
      <w:r>
        <w:rPr>
          <w:rFonts w:hint="eastAsia" w:eastAsia="楷体"/>
          <w:sz w:val="24"/>
          <w:lang w:val="en-US" w:eastAsia="zh-CN"/>
        </w:rPr>
        <w:t>1、出具项目所需专项法律意见书；</w:t>
      </w:r>
    </w:p>
    <w:p>
      <w:pPr>
        <w:spacing w:before="231" w:beforeLines="50" w:line="360" w:lineRule="exact"/>
        <w:ind w:firstLine="480" w:firstLineChars="200"/>
        <w:rPr>
          <w:rFonts w:hint="eastAsia" w:eastAsia="楷体"/>
          <w:sz w:val="24"/>
        </w:rPr>
      </w:pPr>
      <w:r>
        <w:rPr>
          <w:rFonts w:hint="eastAsia" w:eastAsia="楷体"/>
          <w:sz w:val="24"/>
          <w:lang w:val="en-US" w:eastAsia="zh-CN"/>
        </w:rPr>
        <w:t>2</w:t>
      </w:r>
      <w:r>
        <w:rPr>
          <w:rFonts w:hint="eastAsia" w:eastAsia="楷体"/>
          <w:sz w:val="24"/>
        </w:rPr>
        <w:t>、根据本项目的具体情况，制作专项法律服务工作计划，确定人员分工、草拟工作内容清单；</w:t>
      </w:r>
    </w:p>
    <w:p>
      <w:pPr>
        <w:spacing w:before="231" w:beforeLines="50" w:line="360" w:lineRule="exact"/>
        <w:ind w:firstLine="480" w:firstLineChars="200"/>
        <w:rPr>
          <w:rFonts w:hint="eastAsia" w:eastAsia="楷体"/>
          <w:sz w:val="24"/>
        </w:rPr>
      </w:pPr>
      <w:r>
        <w:rPr>
          <w:rFonts w:hint="eastAsia" w:eastAsia="楷体"/>
          <w:sz w:val="24"/>
          <w:lang w:val="en-US" w:eastAsia="zh-CN"/>
        </w:rPr>
        <w:t>3</w:t>
      </w:r>
      <w:r>
        <w:rPr>
          <w:rFonts w:hint="eastAsia" w:eastAsia="楷体"/>
          <w:sz w:val="24"/>
        </w:rPr>
        <w:t>、对AA评级工作中发现的问题进行法律分析，并提出解决方案</w:t>
      </w:r>
    </w:p>
    <w:p>
      <w:pPr>
        <w:spacing w:before="231" w:beforeLines="50" w:line="360" w:lineRule="exact"/>
        <w:ind w:firstLine="480" w:firstLineChars="200"/>
        <w:rPr>
          <w:rFonts w:hint="eastAsia" w:eastAsia="楷体"/>
          <w:sz w:val="24"/>
        </w:rPr>
      </w:pPr>
      <w:r>
        <w:rPr>
          <w:rFonts w:hint="eastAsia" w:eastAsia="楷体"/>
          <w:sz w:val="24"/>
          <w:lang w:val="en-US" w:eastAsia="zh-CN"/>
        </w:rPr>
        <w:t>4</w:t>
      </w:r>
      <w:r>
        <w:rPr>
          <w:rFonts w:hint="eastAsia" w:eastAsia="楷体"/>
          <w:sz w:val="24"/>
        </w:rPr>
        <w:t>、应要求参加磋商、谈判，进行法律分析、论证；</w:t>
      </w:r>
    </w:p>
    <w:p>
      <w:pPr>
        <w:spacing w:before="231" w:beforeLines="50" w:line="360" w:lineRule="exact"/>
        <w:ind w:firstLine="480" w:firstLineChars="200"/>
        <w:rPr>
          <w:rFonts w:hint="eastAsia" w:eastAsia="楷体"/>
          <w:sz w:val="24"/>
        </w:rPr>
      </w:pPr>
      <w:r>
        <w:rPr>
          <w:rFonts w:hint="eastAsia" w:eastAsia="楷体"/>
          <w:sz w:val="24"/>
          <w:lang w:val="en-US" w:eastAsia="zh-CN"/>
        </w:rPr>
        <w:t>5</w:t>
      </w:r>
      <w:r>
        <w:rPr>
          <w:rFonts w:hint="eastAsia" w:eastAsia="楷体"/>
          <w:sz w:val="24"/>
        </w:rPr>
        <w:t>、根据采购人的需要，列席重大会议，现场提供法律咨询；</w:t>
      </w:r>
    </w:p>
    <w:p>
      <w:pPr>
        <w:spacing w:before="231" w:beforeLines="50" w:line="360" w:lineRule="exact"/>
        <w:ind w:firstLine="480" w:firstLineChars="200"/>
        <w:rPr>
          <w:rFonts w:hint="eastAsia" w:eastAsia="楷体"/>
          <w:sz w:val="24"/>
        </w:rPr>
      </w:pPr>
      <w:r>
        <w:rPr>
          <w:rFonts w:hint="eastAsia" w:eastAsia="楷体"/>
          <w:sz w:val="24"/>
          <w:lang w:val="en-US" w:eastAsia="zh-CN"/>
        </w:rPr>
        <w:t>6</w:t>
      </w:r>
      <w:r>
        <w:rPr>
          <w:rFonts w:hint="eastAsia" w:eastAsia="楷体"/>
          <w:sz w:val="24"/>
        </w:rPr>
        <w:t>、根据采购人的需要处理其他法律事务。</w:t>
      </w:r>
    </w:p>
    <w:p>
      <w:pPr>
        <w:numPr>
          <w:ilvl w:val="0"/>
          <w:numId w:val="7"/>
        </w:numPr>
        <w:tabs>
          <w:tab w:val="left" w:pos="470"/>
        </w:tabs>
        <w:spacing w:before="231" w:beforeLines="50" w:line="360" w:lineRule="exact"/>
        <w:ind w:left="0" w:firstLine="470"/>
        <w:rPr>
          <w:rFonts w:eastAsia="楷体"/>
          <w:sz w:val="24"/>
        </w:rPr>
      </w:pPr>
      <w:r>
        <w:rPr>
          <w:rFonts w:eastAsia="楷体"/>
          <w:sz w:val="24"/>
        </w:rPr>
        <w:t>甲方应全面、如实地向乙方律师提供有关文件资料或作出陈述。甲方向乙方提出的有关法律材料如是复印件，应由甲方指定的签字人在法律材料上签名确认。甲方如有捏造事实、弄虚作假等违法情况，乙方有权终止代理，所收费用不予退还。</w:t>
      </w:r>
    </w:p>
    <w:p>
      <w:pPr>
        <w:tabs>
          <w:tab w:val="left" w:pos="360"/>
        </w:tabs>
        <w:spacing w:before="231" w:beforeLines="50" w:line="360" w:lineRule="exact"/>
        <w:ind w:firstLine="480" w:firstLineChars="200"/>
        <w:rPr>
          <w:rFonts w:eastAsia="楷体"/>
          <w:sz w:val="24"/>
        </w:rPr>
      </w:pPr>
      <w:r>
        <w:rPr>
          <w:rFonts w:eastAsia="楷体"/>
          <w:sz w:val="24"/>
        </w:rPr>
        <w:t>乙方律师所提供意见均基于所获得的材料基础上作出，如因材料本身缺漏虚假等问题造成的错误，与乙方无关。</w:t>
      </w:r>
    </w:p>
    <w:p>
      <w:pPr>
        <w:numPr>
          <w:ilvl w:val="0"/>
          <w:numId w:val="7"/>
        </w:numPr>
        <w:spacing w:before="231" w:beforeLines="50" w:line="360" w:lineRule="exact"/>
        <w:ind w:left="0" w:firstLine="426"/>
        <w:rPr>
          <w:rFonts w:eastAsia="楷体"/>
          <w:sz w:val="24"/>
        </w:rPr>
      </w:pPr>
      <w:r>
        <w:rPr>
          <w:rFonts w:eastAsia="楷体"/>
          <w:sz w:val="24"/>
        </w:rPr>
        <w:t>甲方应为乙方提供法律事务服务提供便利，配合乙方完成上述甲方委托的事务。手续性、程序性事务由甲方自行完成。</w:t>
      </w:r>
    </w:p>
    <w:p>
      <w:pPr>
        <w:numPr>
          <w:ilvl w:val="0"/>
          <w:numId w:val="7"/>
        </w:numPr>
        <w:tabs>
          <w:tab w:val="left" w:pos="360"/>
        </w:tabs>
        <w:spacing w:before="231" w:beforeLines="50" w:line="360" w:lineRule="exact"/>
        <w:ind w:left="0" w:firstLine="426"/>
        <w:rPr>
          <w:rFonts w:eastAsia="楷体"/>
          <w:sz w:val="24"/>
        </w:rPr>
      </w:pPr>
      <w:r>
        <w:rPr>
          <w:rFonts w:eastAsia="楷体"/>
          <w:sz w:val="24"/>
        </w:rPr>
        <w:t>乙方律师应认真勤勉地为甲方提供本协议第一条约定的专项法律服务事项，尽力维护甲方合法权益。</w:t>
      </w:r>
    </w:p>
    <w:p>
      <w:pPr>
        <w:numPr>
          <w:ilvl w:val="0"/>
          <w:numId w:val="7"/>
        </w:numPr>
        <w:tabs>
          <w:tab w:val="left" w:pos="360"/>
        </w:tabs>
        <w:spacing w:before="231" w:beforeLines="50" w:line="360" w:lineRule="exact"/>
        <w:ind w:left="0" w:firstLine="426"/>
        <w:rPr>
          <w:rFonts w:eastAsia="楷体"/>
          <w:sz w:val="24"/>
        </w:rPr>
      </w:pPr>
      <w:r>
        <w:rPr>
          <w:rFonts w:eastAsia="楷体"/>
          <w:color w:val="000000"/>
          <w:sz w:val="24"/>
          <w:szCs w:val="28"/>
          <w:u w:color="FFFFFF"/>
        </w:rPr>
        <w:t>如乙方在服务过程中因重大过失或者故意给甲方造成损失的，乙方应当按照《合伙企业法》第57条、《律师法》第15条、《律师事务所管理办法》第</w:t>
      </w:r>
      <w:r>
        <w:rPr>
          <w:rFonts w:hint="eastAsia" w:eastAsia="楷体"/>
          <w:color w:val="000000"/>
          <w:sz w:val="24"/>
          <w:szCs w:val="28"/>
          <w:u w:color="FFFFFF"/>
        </w:rPr>
        <w:t>53</w:t>
      </w:r>
      <w:r>
        <w:rPr>
          <w:rFonts w:eastAsia="楷体"/>
          <w:color w:val="000000"/>
          <w:sz w:val="24"/>
          <w:szCs w:val="28"/>
          <w:u w:color="FFFFFF"/>
        </w:rPr>
        <w:t>条规定承担赔偿责任。</w:t>
      </w:r>
    </w:p>
    <w:p>
      <w:pPr>
        <w:numPr>
          <w:ilvl w:val="0"/>
          <w:numId w:val="7"/>
        </w:numPr>
        <w:tabs>
          <w:tab w:val="left" w:pos="360"/>
        </w:tabs>
        <w:spacing w:before="231" w:beforeLines="50" w:line="360" w:lineRule="exact"/>
        <w:ind w:left="0" w:firstLine="426"/>
        <w:rPr>
          <w:rFonts w:eastAsia="楷体"/>
          <w:sz w:val="24"/>
        </w:rPr>
      </w:pPr>
      <w:r>
        <w:rPr>
          <w:rFonts w:eastAsia="楷体"/>
          <w:sz w:val="24"/>
        </w:rPr>
        <w:t>本协议履行过程中，乙方及乙方律师应严格保守本协议履行过程中所知悉的甲方的商业秘密。</w:t>
      </w:r>
    </w:p>
    <w:p>
      <w:pPr>
        <w:numPr>
          <w:ilvl w:val="0"/>
          <w:numId w:val="7"/>
        </w:numPr>
        <w:tabs>
          <w:tab w:val="left" w:pos="360"/>
        </w:tabs>
        <w:spacing w:before="231" w:beforeLines="50" w:line="360" w:lineRule="exact"/>
        <w:ind w:left="0" w:firstLine="426"/>
        <w:rPr>
          <w:rFonts w:eastAsia="楷体"/>
          <w:sz w:val="24"/>
        </w:rPr>
      </w:pPr>
      <w:r>
        <w:rPr>
          <w:rFonts w:eastAsia="楷体"/>
          <w:sz w:val="24"/>
        </w:rPr>
        <w:t>在无法定或合同约定的解除合同情形下,任何一方不得擅自解除合同. 如乙方未经甲方同意擅自解除合同，所收费用应在甲方要求退费后三日内</w:t>
      </w:r>
      <w:r>
        <w:rPr>
          <w:rFonts w:hint="eastAsia" w:eastAsia="楷体"/>
          <w:sz w:val="24"/>
          <w:lang w:val="en-US" w:eastAsia="zh-CN"/>
        </w:rPr>
        <w:t>双倍</w:t>
      </w:r>
      <w:r>
        <w:rPr>
          <w:rFonts w:eastAsia="楷体"/>
          <w:sz w:val="24"/>
        </w:rPr>
        <w:t>退还甲方。如甲方未经乙方同意擅自解除合同（包括未与乙方协商一致解除对乙方律师的授权委托，以及未与乙方协商一致另行聘请代理人等），所缴费用乙方不予退还，应缴未缴费用应在乙方要求缴付后三日内缴清。</w:t>
      </w:r>
    </w:p>
    <w:p>
      <w:pPr>
        <w:numPr>
          <w:ilvl w:val="0"/>
          <w:numId w:val="7"/>
        </w:numPr>
        <w:tabs>
          <w:tab w:val="left" w:pos="360"/>
        </w:tabs>
        <w:spacing w:before="231" w:beforeLines="50" w:line="360" w:lineRule="exact"/>
        <w:ind w:left="0" w:firstLine="426"/>
        <w:rPr>
          <w:rFonts w:eastAsia="楷体"/>
          <w:sz w:val="24"/>
        </w:rPr>
      </w:pPr>
      <w:r>
        <w:rPr>
          <w:rFonts w:eastAsia="楷体"/>
          <w:sz w:val="24"/>
        </w:rPr>
        <w:t>根据</w:t>
      </w:r>
      <w:r>
        <w:rPr>
          <w:rFonts w:eastAsia="楷体"/>
          <w:color w:val="000000"/>
          <w:sz w:val="24"/>
          <w:u w:color="FFFFFF"/>
        </w:rPr>
        <w:t>《四川省发展和改革委员会</w:t>
      </w:r>
      <w:r>
        <w:rPr>
          <w:rFonts w:hint="eastAsia" w:eastAsia="楷体"/>
          <w:color w:val="000000"/>
          <w:sz w:val="24"/>
          <w:u w:color="FFFFFF"/>
        </w:rPr>
        <w:t xml:space="preserve"> </w:t>
      </w:r>
      <w:r>
        <w:rPr>
          <w:rFonts w:eastAsia="楷体"/>
          <w:color w:val="000000"/>
          <w:sz w:val="24"/>
          <w:u w:color="FFFFFF"/>
        </w:rPr>
        <w:t>四川省司法厅关于规范律师法律服务收费管理有关问题的通知（川发改价格〔2018〕93号）》</w:t>
      </w:r>
      <w:r>
        <w:rPr>
          <w:rFonts w:eastAsia="楷体"/>
          <w:sz w:val="24"/>
          <w:szCs w:val="21"/>
        </w:rPr>
        <w:t>，</w:t>
      </w:r>
      <w:r>
        <w:rPr>
          <w:rFonts w:hint="eastAsia" w:eastAsia="楷体"/>
          <w:sz w:val="24"/>
          <w:szCs w:val="21"/>
        </w:rPr>
        <w:t>结合本委托事项难易复杂程度和律师工作量</w:t>
      </w:r>
      <w:r>
        <w:rPr>
          <w:rFonts w:eastAsia="楷体"/>
          <w:sz w:val="24"/>
          <w:szCs w:val="21"/>
        </w:rPr>
        <w:t>，</w:t>
      </w:r>
      <w:r>
        <w:rPr>
          <w:rFonts w:eastAsia="楷体"/>
          <w:sz w:val="24"/>
        </w:rPr>
        <w:t>双方经</w:t>
      </w:r>
      <w:r>
        <w:rPr>
          <w:rFonts w:hint="eastAsia" w:eastAsia="楷体"/>
          <w:sz w:val="24"/>
        </w:rPr>
        <w:t>充分</w:t>
      </w:r>
      <w:r>
        <w:rPr>
          <w:rFonts w:eastAsia="楷体"/>
          <w:sz w:val="24"/>
        </w:rPr>
        <w:t>协商，甲方按照下列约定</w:t>
      </w:r>
      <w:r>
        <w:rPr>
          <w:rFonts w:hint="eastAsia" w:eastAsia="楷体"/>
          <w:sz w:val="24"/>
        </w:rPr>
        <w:t>计付服务费、差旅费及其他费</w:t>
      </w:r>
      <w:r>
        <w:rPr>
          <w:rFonts w:eastAsia="楷体"/>
          <w:sz w:val="24"/>
        </w:rPr>
        <w:t>用：</w:t>
      </w:r>
    </w:p>
    <w:p>
      <w:pPr>
        <w:spacing w:before="231" w:beforeLines="50" w:line="360" w:lineRule="exact"/>
        <w:ind w:firstLine="480" w:firstLineChars="200"/>
        <w:rPr>
          <w:rFonts w:eastAsia="楷体"/>
          <w:sz w:val="24"/>
        </w:rPr>
      </w:pPr>
      <w:r>
        <w:rPr>
          <w:rFonts w:eastAsia="楷体"/>
          <w:sz w:val="24"/>
        </w:rPr>
        <w:t>1</w:t>
      </w:r>
      <w:r>
        <w:rPr>
          <w:rFonts w:hint="eastAsia" w:eastAsia="楷体"/>
          <w:sz w:val="24"/>
        </w:rPr>
        <w:t>、法律服务费</w:t>
      </w:r>
    </w:p>
    <w:p>
      <w:pPr>
        <w:numPr>
          <w:ilvl w:val="0"/>
          <w:numId w:val="7"/>
        </w:numPr>
        <w:tabs>
          <w:tab w:val="left" w:pos="360"/>
        </w:tabs>
        <w:spacing w:before="231" w:beforeLines="50" w:line="360" w:lineRule="exact"/>
        <w:ind w:left="0" w:firstLine="426"/>
        <w:rPr>
          <w:rFonts w:hint="eastAsia" w:hAnsi="Times New Roman" w:eastAsia="楷体" w:cs="Times New Roman"/>
          <w:color w:val="000000"/>
          <w:sz w:val="24"/>
          <w:u w:color="FFFFFF"/>
          <w:lang w:eastAsia="zh-CN"/>
        </w:rPr>
      </w:pPr>
    </w:p>
    <w:p>
      <w:pPr>
        <w:numPr>
          <w:ilvl w:val="0"/>
          <w:numId w:val="0"/>
        </w:numPr>
        <w:tabs>
          <w:tab w:val="left" w:pos="360"/>
        </w:tabs>
        <w:spacing w:before="231" w:beforeLines="50" w:line="360" w:lineRule="exact"/>
        <w:ind w:left="426" w:leftChars="0"/>
        <w:rPr>
          <w:rFonts w:hint="eastAsia" w:hAnsi="Times New Roman" w:eastAsia="楷体" w:cs="Times New Roman"/>
          <w:color w:val="000000"/>
          <w:sz w:val="24"/>
          <w:u w:color="FFFFFF"/>
          <w:lang w:eastAsia="zh-CN"/>
        </w:rPr>
      </w:pPr>
      <w:r>
        <w:rPr>
          <w:rFonts w:hint="eastAsia" w:hAnsi="Times New Roman" w:eastAsia="楷体" w:cs="Times New Roman"/>
          <w:color w:val="000000"/>
          <w:sz w:val="24"/>
          <w:u w:color="FFFFFF"/>
        </w:rPr>
        <w:t>（1）</w:t>
      </w:r>
      <w:r>
        <w:rPr>
          <w:rFonts w:hint="eastAsia" w:hAnsi="Times New Roman" w:eastAsia="楷体" w:cs="Times New Roman"/>
          <w:color w:val="000000"/>
          <w:sz w:val="24"/>
          <w:u w:color="FFFFFF"/>
          <w:lang w:val="en-US" w:eastAsia="zh-CN"/>
        </w:rPr>
        <w:t>德阳高新国有资本投资运营有限公司AA评级工作</w:t>
      </w:r>
      <w:r>
        <w:rPr>
          <w:rFonts w:hint="eastAsia" w:hAnsi="Times New Roman" w:eastAsia="楷体" w:cs="Times New Roman"/>
          <w:color w:val="000000"/>
          <w:sz w:val="24"/>
          <w:u w:color="FFFFFF"/>
        </w:rPr>
        <w:t>专项法律服务费</w:t>
      </w:r>
      <w:r>
        <w:rPr>
          <w:rFonts w:hint="eastAsia" w:hAnsi="Times New Roman" w:eastAsia="楷体" w:cs="Times New Roman"/>
          <w:color w:val="000000"/>
          <w:sz w:val="24"/>
          <w:u w:color="FFFFFF"/>
          <w:lang w:val="en-US" w:eastAsia="zh-CN"/>
        </w:rPr>
        <w:t xml:space="preserve">      万</w:t>
      </w:r>
      <w:r>
        <w:rPr>
          <w:rFonts w:hint="eastAsia" w:hAnsi="Times New Roman" w:eastAsia="楷体" w:cs="Times New Roman"/>
          <w:color w:val="000000"/>
          <w:sz w:val="24"/>
          <w:u w:color="FFFFFF"/>
        </w:rPr>
        <w:t>元</w:t>
      </w:r>
      <w:r>
        <w:rPr>
          <w:rFonts w:hint="eastAsia" w:hAnsi="Times New Roman" w:eastAsia="楷体" w:cs="Times New Roman"/>
          <w:color w:val="000000"/>
          <w:sz w:val="24"/>
          <w:u w:color="FFFFFF"/>
          <w:lang w:eastAsia="zh-CN"/>
        </w:rPr>
        <w:t>（</w:t>
      </w:r>
      <w:r>
        <w:rPr>
          <w:rFonts w:hint="eastAsia" w:hAnsi="Times New Roman" w:eastAsia="楷体" w:cs="Times New Roman"/>
          <w:color w:val="000000"/>
          <w:sz w:val="24"/>
          <w:u w:color="FFFFFF"/>
          <w:lang w:val="en-US" w:eastAsia="zh-CN"/>
        </w:rPr>
        <w:t>费用含税价）</w:t>
      </w:r>
      <w:r>
        <w:rPr>
          <w:rFonts w:hint="eastAsia" w:hAnsi="Times New Roman" w:eastAsia="楷体" w:cs="Times New Roman"/>
          <w:color w:val="000000"/>
          <w:sz w:val="24"/>
          <w:u w:color="FFFFFF"/>
        </w:rPr>
        <w:t>。</w:t>
      </w:r>
      <w:r>
        <w:rPr>
          <w:rFonts w:hint="eastAsia" w:hAnsi="Times New Roman" w:eastAsia="楷体" w:cs="Times New Roman"/>
          <w:color w:val="000000"/>
          <w:sz w:val="24"/>
          <w:u w:color="FFFFFF"/>
          <w:lang w:val="en-US" w:eastAsia="zh-CN"/>
        </w:rPr>
        <w:t>合同签定后两周内支付合同总额30%给供应商；</w:t>
      </w:r>
      <w:r>
        <w:rPr>
          <w:rFonts w:hint="eastAsia" w:eastAsia="楷体" w:cs="Times New Roman"/>
          <w:color w:val="000000"/>
          <w:sz w:val="24"/>
          <w:u w:color="FFFFFF"/>
          <w:lang w:val="en-US" w:eastAsia="zh-CN"/>
        </w:rPr>
        <w:t>余下</w:t>
      </w:r>
      <w:r>
        <w:rPr>
          <w:rFonts w:hint="eastAsia" w:hAnsi="Times New Roman" w:eastAsia="楷体" w:cs="Times New Roman"/>
          <w:color w:val="000000"/>
          <w:sz w:val="24"/>
          <w:u w:color="FFFFFF"/>
        </w:rPr>
        <w:t>的</w:t>
      </w:r>
      <w:r>
        <w:rPr>
          <w:rFonts w:hint="eastAsia" w:hAnsi="Times New Roman" w:eastAsia="楷体" w:cs="Times New Roman"/>
          <w:color w:val="000000"/>
          <w:sz w:val="24"/>
          <w:u w:color="FFFFFF"/>
          <w:lang w:val="en-US" w:eastAsia="zh-CN"/>
        </w:rPr>
        <w:t>7</w:t>
      </w:r>
      <w:r>
        <w:rPr>
          <w:rFonts w:hint="eastAsia" w:hAnsi="Times New Roman" w:eastAsia="楷体" w:cs="Times New Roman"/>
          <w:color w:val="000000"/>
          <w:sz w:val="24"/>
          <w:u w:color="FFFFFF"/>
        </w:rPr>
        <w:t>0%</w:t>
      </w:r>
      <w:r>
        <w:rPr>
          <w:rFonts w:hint="eastAsia" w:eastAsia="楷体" w:cs="Times New Roman"/>
          <w:color w:val="000000"/>
          <w:sz w:val="24"/>
          <w:u w:color="FFFFFF"/>
          <w:lang w:val="en-US" w:eastAsia="zh-CN"/>
        </w:rPr>
        <w:t>款项待评级机构出具正式的AA评级报告后5个工作日内支付，采购人付款前，供</w:t>
      </w:r>
      <w:r>
        <w:rPr>
          <w:rFonts w:hint="eastAsia" w:hAnsi="Times New Roman" w:eastAsia="楷体" w:cs="Times New Roman"/>
          <w:color w:val="000000"/>
          <w:sz w:val="24"/>
          <w:u w:color="FFFFFF"/>
        </w:rPr>
        <w:t>应商应当向采购人开具等额增值税专用发票及提交付款申请。</w:t>
      </w:r>
    </w:p>
    <w:p/>
    <w:p>
      <w:pPr>
        <w:spacing w:before="231" w:beforeLines="50" w:line="360" w:lineRule="exact"/>
        <w:ind w:firstLine="480" w:firstLineChars="200"/>
        <w:rPr>
          <w:rFonts w:eastAsia="楷体"/>
          <w:color w:val="000000"/>
          <w:sz w:val="24"/>
          <w:u w:color="FFFFFF"/>
        </w:rPr>
      </w:pPr>
      <w:r>
        <w:rPr>
          <w:rFonts w:hint="eastAsia" w:eastAsia="楷体"/>
          <w:color w:val="000000"/>
          <w:sz w:val="24"/>
          <w:u w:color="FFFFFF"/>
        </w:rPr>
        <w:t>（2）</w:t>
      </w:r>
      <w:r>
        <w:rPr>
          <w:rFonts w:eastAsia="楷体"/>
          <w:color w:val="000000"/>
          <w:sz w:val="24"/>
          <w:u w:color="FFFFFF"/>
        </w:rPr>
        <w:t>乙方收款账户：</w:t>
      </w:r>
    </w:p>
    <w:p>
      <w:pPr>
        <w:spacing w:before="231" w:beforeLines="50" w:line="360" w:lineRule="exact"/>
        <w:ind w:left="1377" w:leftChars="405"/>
        <w:rPr>
          <w:rFonts w:eastAsia="楷体"/>
          <w:color w:val="000000"/>
          <w:sz w:val="24"/>
          <w:u w:color="FFFFFF"/>
        </w:rPr>
      </w:pPr>
      <w:r>
        <w:rPr>
          <w:rFonts w:eastAsia="楷体"/>
          <w:color w:val="000000"/>
          <w:sz w:val="24"/>
          <w:u w:color="FFFFFF"/>
        </w:rPr>
        <w:t>户    名：</w:t>
      </w:r>
      <w:r>
        <w:rPr>
          <w:rFonts w:hint="eastAsia" w:eastAsia="楷体"/>
          <w:color w:val="000000"/>
          <w:sz w:val="24"/>
          <w:u w:color="FFFFFF"/>
        </w:rPr>
        <w:t xml:space="preserve"> </w:t>
      </w:r>
    </w:p>
    <w:p>
      <w:pPr>
        <w:spacing w:before="231" w:beforeLines="50" w:line="360" w:lineRule="exact"/>
        <w:ind w:left="1377" w:leftChars="405"/>
        <w:rPr>
          <w:rFonts w:hint="eastAsia" w:eastAsia="楷体"/>
          <w:color w:val="000000"/>
          <w:sz w:val="24"/>
          <w:u w:color="FFFFFF"/>
          <w:lang w:eastAsia="zh-CN"/>
        </w:rPr>
      </w:pPr>
      <w:r>
        <w:rPr>
          <w:rFonts w:eastAsia="楷体"/>
          <w:color w:val="000000"/>
          <w:sz w:val="24"/>
          <w:u w:color="FFFFFF"/>
        </w:rPr>
        <w:t>开户银行：</w:t>
      </w:r>
      <w:r>
        <w:rPr>
          <w:rFonts w:hint="eastAsia" w:eastAsia="楷体"/>
          <w:color w:val="000000"/>
          <w:sz w:val="24"/>
          <w:u w:color="FFFFFF"/>
        </w:rPr>
        <w:t xml:space="preserve"> </w:t>
      </w:r>
    </w:p>
    <w:p>
      <w:pPr>
        <w:spacing w:before="231" w:beforeLines="50" w:line="360" w:lineRule="exact"/>
        <w:ind w:left="1377" w:leftChars="405"/>
        <w:rPr>
          <w:rFonts w:eastAsia="楷体"/>
          <w:color w:val="000000"/>
          <w:sz w:val="24"/>
          <w:u w:color="FFFFFF"/>
        </w:rPr>
      </w:pPr>
      <w:r>
        <w:rPr>
          <w:rFonts w:hint="eastAsia" w:eastAsia="楷体"/>
          <w:color w:val="000000"/>
          <w:sz w:val="24"/>
          <w:u w:color="FFFFFF"/>
        </w:rPr>
        <w:t>账</w:t>
      </w:r>
      <w:r>
        <w:rPr>
          <w:rFonts w:eastAsia="楷体"/>
          <w:color w:val="000000"/>
          <w:sz w:val="24"/>
          <w:u w:color="FFFFFF"/>
        </w:rPr>
        <w:t xml:space="preserve">    号：</w:t>
      </w:r>
    </w:p>
    <w:p>
      <w:pPr>
        <w:spacing w:before="231" w:beforeLines="50" w:line="360" w:lineRule="exact"/>
        <w:ind w:firstLine="480"/>
        <w:rPr>
          <w:rFonts w:eastAsia="楷体"/>
          <w:color w:val="000000"/>
          <w:sz w:val="24"/>
          <w:u w:color="FFFFFF"/>
        </w:rPr>
      </w:pPr>
      <w:r>
        <w:rPr>
          <w:rFonts w:hint="eastAsia" w:eastAsia="楷体"/>
          <w:color w:val="000000"/>
          <w:sz w:val="24"/>
          <w:u w:color="FFFFFF"/>
        </w:rPr>
        <w:t xml:space="preserve">（3）乙方应按如下开票信息向甲方开具 </w:t>
      </w:r>
      <w:r>
        <w:rPr>
          <w:rFonts w:eastAsia="仿宋"/>
          <w:sz w:val="36"/>
          <w:szCs w:val="36"/>
        </w:rPr>
        <w:t>□</w:t>
      </w:r>
      <w:r>
        <w:rPr>
          <w:rFonts w:hint="eastAsia" w:eastAsia="楷体"/>
          <w:color w:val="000000"/>
          <w:sz w:val="24"/>
          <w:u w:color="FFFFFF"/>
        </w:rPr>
        <w:t xml:space="preserve">增值税专用发票 </w:t>
      </w:r>
      <w:r>
        <w:rPr>
          <w:rFonts w:eastAsia="仿宋"/>
          <w:sz w:val="36"/>
          <w:szCs w:val="36"/>
        </w:rPr>
        <w:t>□</w:t>
      </w:r>
      <w:r>
        <w:rPr>
          <w:rFonts w:hint="eastAsia" w:eastAsia="楷体"/>
          <w:color w:val="000000"/>
          <w:sz w:val="24"/>
          <w:u w:color="FFFFFF"/>
        </w:rPr>
        <w:t>增值税普通发票：</w:t>
      </w:r>
    </w:p>
    <w:p>
      <w:pPr>
        <w:spacing w:before="231" w:beforeLines="50" w:line="360" w:lineRule="exact"/>
        <w:ind w:left="1377" w:leftChars="405"/>
        <w:rPr>
          <w:rFonts w:hint="eastAsia" w:eastAsia="楷体"/>
          <w:color w:val="000000"/>
          <w:sz w:val="24"/>
          <w:u w:color="FFFFFF"/>
          <w:lang w:eastAsia="zh-CN"/>
        </w:rPr>
      </w:pPr>
      <w:r>
        <w:rPr>
          <w:rFonts w:hint="eastAsia" w:eastAsia="楷体"/>
          <w:color w:val="000000"/>
          <w:sz w:val="24"/>
          <w:u w:color="FFFFFF"/>
        </w:rPr>
        <w:t xml:space="preserve">名 </w:t>
      </w:r>
      <w:r>
        <w:rPr>
          <w:rFonts w:eastAsia="楷体"/>
          <w:color w:val="000000"/>
          <w:sz w:val="24"/>
          <w:u w:color="FFFFFF"/>
        </w:rPr>
        <w:t xml:space="preserve">       </w:t>
      </w:r>
      <w:r>
        <w:rPr>
          <w:rFonts w:hint="eastAsia" w:eastAsia="楷体"/>
          <w:color w:val="000000"/>
          <w:sz w:val="24"/>
          <w:u w:color="FFFFFF"/>
        </w:rPr>
        <w:t>称：</w:t>
      </w:r>
    </w:p>
    <w:p>
      <w:pPr>
        <w:spacing w:before="231" w:beforeLines="50" w:line="360" w:lineRule="exact"/>
        <w:ind w:left="1377" w:leftChars="405"/>
        <w:rPr>
          <w:rFonts w:hint="eastAsia" w:eastAsia="楷体"/>
          <w:color w:val="000000"/>
          <w:sz w:val="24"/>
          <w:u w:color="FFFFFF"/>
          <w:lang w:eastAsia="zh-CN"/>
        </w:rPr>
      </w:pPr>
      <w:r>
        <w:rPr>
          <w:rFonts w:hint="eastAsia" w:eastAsia="楷体"/>
          <w:color w:val="000000"/>
          <w:sz w:val="24"/>
          <w:u w:color="FFFFFF"/>
        </w:rPr>
        <w:t>纳税人识别号：</w:t>
      </w:r>
    </w:p>
    <w:p>
      <w:pPr>
        <w:spacing w:before="231" w:beforeLines="50" w:line="360" w:lineRule="exact"/>
        <w:ind w:left="1377" w:leftChars="405"/>
        <w:rPr>
          <w:rFonts w:hint="eastAsia" w:eastAsia="楷体"/>
          <w:color w:val="000000"/>
          <w:sz w:val="24"/>
          <w:u w:color="FFFFFF"/>
          <w:lang w:eastAsia="zh-CN"/>
        </w:rPr>
      </w:pPr>
      <w:r>
        <w:rPr>
          <w:rFonts w:hint="eastAsia" w:eastAsia="楷体"/>
          <w:color w:val="000000"/>
          <w:sz w:val="24"/>
          <w:u w:color="FFFFFF"/>
        </w:rPr>
        <w:t>地 址、电 话：</w:t>
      </w:r>
    </w:p>
    <w:p>
      <w:pPr>
        <w:spacing w:before="231" w:beforeLines="50" w:line="360" w:lineRule="exact"/>
        <w:ind w:left="1377" w:leftChars="405"/>
        <w:rPr>
          <w:rFonts w:eastAsia="楷体"/>
          <w:color w:val="000000"/>
          <w:sz w:val="24"/>
          <w:u w:color="FFFFFF"/>
        </w:rPr>
      </w:pPr>
      <w:r>
        <w:rPr>
          <w:rFonts w:hint="eastAsia" w:eastAsia="楷体"/>
          <w:color w:val="000000"/>
          <w:sz w:val="24"/>
          <w:u w:color="FFFFFF"/>
        </w:rPr>
        <w:t>开户行及账号：</w:t>
      </w:r>
    </w:p>
    <w:p>
      <w:pPr>
        <w:spacing w:before="231" w:beforeLines="50" w:line="360" w:lineRule="exact"/>
        <w:ind w:left="228" w:leftChars="67" w:firstLine="708"/>
        <w:rPr>
          <w:rFonts w:eastAsia="楷体"/>
          <w:color w:val="000000"/>
          <w:sz w:val="24"/>
          <w:u w:color="FFFFFF"/>
        </w:rPr>
      </w:pPr>
      <w:r>
        <w:rPr>
          <w:rFonts w:hint="eastAsia" w:eastAsia="楷体"/>
          <w:color w:val="000000"/>
          <w:sz w:val="24"/>
          <w:u w:color="FFFFFF"/>
        </w:rPr>
        <w:t>2、差旅费及其他费用计付方式：</w:t>
      </w:r>
    </w:p>
    <w:p>
      <w:pPr>
        <w:spacing w:before="231" w:beforeLines="50" w:line="360" w:lineRule="exact"/>
        <w:ind w:left="228" w:leftChars="67" w:firstLine="708"/>
        <w:rPr>
          <w:rFonts w:eastAsia="楷体"/>
          <w:color w:val="000000"/>
          <w:sz w:val="24"/>
          <w:u w:color="FFFFFF"/>
        </w:rPr>
      </w:pPr>
      <w:r>
        <w:rPr>
          <w:rFonts w:hint="eastAsia" w:eastAsia="楷体"/>
          <w:color w:val="000000"/>
          <w:sz w:val="24"/>
          <w:u w:color="FFFFFF"/>
        </w:rPr>
        <w:t>乙方为甲方提供本协议项下法律事务，在四川省以内的差旅费用由乙方承担，如需在四川省以外进行相关工作，乙方有权收取异地办案差旅费。</w:t>
      </w:r>
    </w:p>
    <w:p>
      <w:pPr>
        <w:spacing w:before="231" w:beforeLines="50" w:line="360" w:lineRule="exact"/>
        <w:ind w:left="228" w:leftChars="67" w:firstLine="708"/>
        <w:rPr>
          <w:rFonts w:eastAsia="楷体"/>
          <w:color w:val="000000"/>
          <w:sz w:val="24"/>
          <w:u w:color="FFFFFF"/>
        </w:rPr>
      </w:pPr>
      <w:r>
        <w:rPr>
          <w:rFonts w:hint="eastAsia" w:eastAsia="楷体"/>
          <w:color w:val="000000"/>
          <w:sz w:val="24"/>
          <w:u w:color="FFFFFF"/>
        </w:rPr>
        <w:t>甲方债券发行和上市所涉及的鉴定费、公证费、评估费、翻译费、查档费、聘请专家论证等费用由甲方自行承担。</w:t>
      </w:r>
    </w:p>
    <w:p>
      <w:pPr>
        <w:numPr>
          <w:ilvl w:val="0"/>
          <w:numId w:val="7"/>
        </w:numPr>
        <w:tabs>
          <w:tab w:val="left" w:pos="360"/>
        </w:tabs>
        <w:spacing w:before="231" w:beforeLines="50" w:line="360" w:lineRule="exact"/>
        <w:ind w:left="0" w:firstLine="426"/>
        <w:rPr>
          <w:rFonts w:eastAsia="楷体"/>
          <w:sz w:val="24"/>
        </w:rPr>
      </w:pPr>
      <w:r>
        <w:rPr>
          <w:rFonts w:eastAsia="楷体"/>
          <w:sz w:val="24"/>
        </w:rPr>
        <w:t>本着对乙方及其律师负责的角度出发，甲方承诺在本合同约定的代理事务履行完毕,认真填制《律师服务质量征求意见表》后寄交乙方或递交给承办律师。</w:t>
      </w:r>
    </w:p>
    <w:p>
      <w:pPr>
        <w:numPr>
          <w:ilvl w:val="0"/>
          <w:numId w:val="7"/>
        </w:numPr>
        <w:tabs>
          <w:tab w:val="left" w:pos="360"/>
        </w:tabs>
        <w:spacing w:before="231" w:beforeLines="50" w:line="360" w:lineRule="exact"/>
        <w:ind w:left="0" w:firstLine="426"/>
        <w:rPr>
          <w:rFonts w:eastAsia="楷体"/>
          <w:sz w:val="24"/>
        </w:rPr>
      </w:pPr>
      <w:r>
        <w:rPr>
          <w:rFonts w:eastAsia="楷体"/>
          <w:sz w:val="24"/>
        </w:rPr>
        <w:t>本合同履行中如发生纠纷，双方应尽量协商解决。协商不成，</w:t>
      </w:r>
      <w:r>
        <w:rPr>
          <w:rFonts w:hint="eastAsia" w:eastAsia="楷体"/>
          <w:sz w:val="24"/>
        </w:rPr>
        <w:t>任何一方均可向</w:t>
      </w:r>
      <w:r>
        <w:rPr>
          <w:rFonts w:hint="eastAsia" w:eastAsia="楷体"/>
          <w:sz w:val="24"/>
          <w:lang w:val="en-US" w:eastAsia="zh-CN"/>
        </w:rPr>
        <w:t>甲方所在地</w:t>
      </w:r>
      <w:r>
        <w:rPr>
          <w:rFonts w:hint="eastAsia" w:eastAsia="楷体"/>
          <w:sz w:val="24"/>
        </w:rPr>
        <w:t>仲裁委员会申请仲裁</w:t>
      </w:r>
      <w:r>
        <w:rPr>
          <w:rFonts w:eastAsia="楷体"/>
          <w:sz w:val="24"/>
        </w:rPr>
        <w:t>。</w:t>
      </w:r>
    </w:p>
    <w:p>
      <w:pPr>
        <w:numPr>
          <w:ilvl w:val="0"/>
          <w:numId w:val="7"/>
        </w:numPr>
        <w:tabs>
          <w:tab w:val="left" w:pos="360"/>
        </w:tabs>
        <w:spacing w:before="231" w:beforeLines="50" w:line="360" w:lineRule="exact"/>
        <w:ind w:left="0" w:firstLine="426"/>
        <w:rPr>
          <w:rFonts w:eastAsia="楷体"/>
          <w:b/>
          <w:sz w:val="24"/>
        </w:rPr>
      </w:pPr>
      <w:r>
        <w:rPr>
          <w:rFonts w:eastAsia="楷体"/>
          <w:sz w:val="24"/>
        </w:rPr>
        <w:t>本合同壹式</w:t>
      </w:r>
      <w:r>
        <w:rPr>
          <w:rFonts w:hint="eastAsia" w:eastAsia="楷体"/>
          <w:sz w:val="24"/>
        </w:rPr>
        <w:t>三</w:t>
      </w:r>
      <w:r>
        <w:rPr>
          <w:rFonts w:eastAsia="楷体"/>
          <w:sz w:val="24"/>
        </w:rPr>
        <w:t>份，甲方</w:t>
      </w:r>
      <w:r>
        <w:rPr>
          <w:rFonts w:hint="eastAsia" w:eastAsia="楷体"/>
          <w:sz w:val="24"/>
        </w:rPr>
        <w:t xml:space="preserve"> </w:t>
      </w:r>
      <w:r>
        <w:rPr>
          <w:rFonts w:eastAsia="楷体"/>
          <w:sz w:val="24"/>
        </w:rPr>
        <w:t xml:space="preserve">   份，乙方</w:t>
      </w:r>
      <w:r>
        <w:rPr>
          <w:rFonts w:hint="eastAsia" w:eastAsia="楷体"/>
          <w:sz w:val="24"/>
        </w:rPr>
        <w:t xml:space="preserve"> </w:t>
      </w:r>
      <w:r>
        <w:rPr>
          <w:rFonts w:eastAsia="楷体"/>
          <w:sz w:val="24"/>
        </w:rPr>
        <w:t xml:space="preserve">  份，自双方签字</w:t>
      </w:r>
      <w:r>
        <w:rPr>
          <w:rFonts w:hint="eastAsia" w:eastAsia="楷体"/>
          <w:sz w:val="24"/>
        </w:rPr>
        <w:t>（</w:t>
      </w:r>
      <w:r>
        <w:rPr>
          <w:rFonts w:eastAsia="楷体"/>
          <w:sz w:val="24"/>
        </w:rPr>
        <w:t>或盖章</w:t>
      </w:r>
      <w:r>
        <w:rPr>
          <w:rFonts w:hint="eastAsia" w:eastAsia="楷体"/>
          <w:sz w:val="24"/>
        </w:rPr>
        <w:t>）</w:t>
      </w:r>
      <w:r>
        <w:rPr>
          <w:rFonts w:eastAsia="楷体"/>
          <w:sz w:val="24"/>
        </w:rPr>
        <w:t>后生效。</w:t>
      </w:r>
    </w:p>
    <w:p>
      <w:pPr>
        <w:numPr>
          <w:ilvl w:val="0"/>
          <w:numId w:val="7"/>
        </w:numPr>
        <w:tabs>
          <w:tab w:val="left" w:pos="360"/>
        </w:tabs>
        <w:spacing w:before="231" w:beforeLines="50" w:line="360" w:lineRule="exact"/>
        <w:ind w:left="0" w:firstLine="426"/>
        <w:rPr>
          <w:rFonts w:eastAsia="楷体"/>
          <w:sz w:val="24"/>
        </w:rPr>
      </w:pPr>
      <w:r>
        <w:rPr>
          <w:rFonts w:eastAsia="楷体"/>
          <w:sz w:val="24"/>
        </w:rPr>
        <w:t>其他约定事项：</w:t>
      </w:r>
      <w:r>
        <w:rPr>
          <w:rFonts w:ascii="Times" w:hAnsi="Times" w:eastAsia="Kaiti SC"/>
          <w:sz w:val="24"/>
          <w:u w:val="single"/>
        </w:rPr>
        <w:t xml:space="preserve">   / </w:t>
      </w:r>
      <w:r>
        <w:rPr>
          <w:rFonts w:eastAsia="楷体"/>
          <w:sz w:val="24"/>
        </w:rPr>
        <w:t>。</w:t>
      </w:r>
    </w:p>
    <w:p>
      <w:pPr>
        <w:spacing w:before="231" w:beforeLines="50" w:line="360" w:lineRule="exact"/>
        <w:ind w:firstLine="426"/>
        <w:rPr>
          <w:rFonts w:eastAsia="楷体"/>
          <w:sz w:val="24"/>
        </w:rPr>
      </w:pPr>
    </w:p>
    <w:p>
      <w:pPr>
        <w:spacing w:before="231" w:beforeLines="50" w:line="360" w:lineRule="exact"/>
        <w:jc w:val="center"/>
        <w:rPr>
          <w:rFonts w:eastAsia="楷体"/>
          <w:sz w:val="24"/>
        </w:rPr>
      </w:pPr>
      <w:r>
        <w:rPr>
          <w:rFonts w:hint="eastAsia" w:eastAsia="楷体"/>
          <w:sz w:val="24"/>
        </w:rPr>
        <w:t>——以下无正文——</w:t>
      </w:r>
    </w:p>
    <w:p>
      <w:pPr>
        <w:spacing w:before="231" w:beforeLines="50" w:line="360" w:lineRule="exact"/>
        <w:rPr>
          <w:rFonts w:eastAsia="楷体"/>
          <w:sz w:val="24"/>
        </w:rPr>
      </w:pPr>
    </w:p>
    <w:p>
      <w:pPr>
        <w:spacing w:before="231" w:beforeLines="50" w:line="360" w:lineRule="exact"/>
        <w:rPr>
          <w:rFonts w:eastAsia="楷体"/>
          <w:sz w:val="24"/>
        </w:rPr>
      </w:pPr>
      <w:r>
        <w:rPr>
          <w:rFonts w:eastAsia="楷体"/>
          <w:sz w:val="24"/>
        </w:rPr>
        <w:t>甲方（盖章）：                  乙方（盖章）：</w:t>
      </w:r>
    </w:p>
    <w:p>
      <w:pPr>
        <w:spacing w:before="231" w:beforeLines="50" w:line="360" w:lineRule="exact"/>
        <w:rPr>
          <w:rFonts w:eastAsia="楷体"/>
          <w:sz w:val="24"/>
        </w:rPr>
      </w:pPr>
      <w:r>
        <w:rPr>
          <w:rFonts w:eastAsia="楷体"/>
          <w:sz w:val="24"/>
        </w:rPr>
        <w:t xml:space="preserve">                               </w:t>
      </w:r>
    </w:p>
    <w:p>
      <w:pPr>
        <w:spacing w:before="231" w:beforeLines="50" w:line="360" w:lineRule="exact"/>
        <w:rPr>
          <w:rFonts w:eastAsia="楷体"/>
          <w:sz w:val="24"/>
        </w:rPr>
      </w:pPr>
      <w:r>
        <w:rPr>
          <w:rFonts w:eastAsia="楷体"/>
          <w:sz w:val="24"/>
        </w:rPr>
        <w:t>授权代表（签名）：              授权代表（签名）：</w:t>
      </w:r>
    </w:p>
    <w:p>
      <w:pPr>
        <w:spacing w:before="231" w:beforeLines="50" w:line="360" w:lineRule="exact"/>
        <w:ind w:firstLine="540" w:firstLineChars="225"/>
        <w:rPr>
          <w:rFonts w:eastAsia="楷体"/>
          <w:sz w:val="24"/>
        </w:rPr>
      </w:pPr>
    </w:p>
    <w:p>
      <w:pPr>
        <w:spacing w:before="231" w:beforeLines="50" w:line="360" w:lineRule="exact"/>
        <w:ind w:firstLine="720" w:firstLineChars="300"/>
        <w:rPr>
          <w:rFonts w:eastAsia="楷体"/>
          <w:sz w:val="24"/>
        </w:rPr>
      </w:pPr>
      <w:r>
        <w:rPr>
          <w:rFonts w:eastAsia="楷体"/>
          <w:sz w:val="24"/>
        </w:rPr>
        <w:t>年    月    日                        年     月    日</w:t>
      </w:r>
    </w:p>
    <w:p>
      <w:pPr>
        <w:spacing w:before="231" w:beforeLines="50" w:line="360" w:lineRule="auto"/>
        <w:ind w:firstLine="960" w:firstLineChars="400"/>
        <w:rPr>
          <w:rFonts w:hAnsi="宋体"/>
          <w:sz w:val="24"/>
          <w:szCs w:val="22"/>
        </w:rPr>
      </w:pPr>
    </w:p>
    <w:p/>
    <w:sectPr>
      <w:footerReference r:id="rId3" w:type="default"/>
      <w:pgSz w:w="11906" w:h="16838"/>
      <w:pgMar w:top="1134" w:right="1134" w:bottom="1134" w:left="1134" w:header="851" w:footer="680" w:gutter="0"/>
      <w:pgNumType w:start="1"/>
      <w:cols w:space="425" w:num="1"/>
      <w:docGrid w:type="lines" w:linePitch="4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Times">
    <w:altName w:val="Times New Roman"/>
    <w:panose1 w:val="00000500000000020000"/>
    <w:charset w:val="00"/>
    <w:family w:val="auto"/>
    <w:pitch w:val="default"/>
    <w:sig w:usb0="00000000" w:usb1="00000000" w:usb2="00000000" w:usb3="00000000" w:csb0="0000019F" w:csb1="00000000"/>
  </w:font>
  <w:font w:name="Kaiti SC">
    <w:altName w:val="微软雅黑"/>
    <w:panose1 w:val="02010600040101010101"/>
    <w:charset w:val="86"/>
    <w:family w:val="auto"/>
    <w:pitch w:val="default"/>
    <w:sig w:usb0="00000000" w:usb1="0000000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0589099"/>
    </w:sdtPr>
    <w:sdtEndPr>
      <w:rPr>
        <w:rFonts w:hAnsi="宋体"/>
        <w:sz w:val="28"/>
        <w:szCs w:val="28"/>
      </w:rPr>
    </w:sdtEndPr>
    <w:sdtContent>
      <w:p>
        <w:pPr>
          <w:pStyle w:val="6"/>
          <w:jc w:val="center"/>
          <w:rPr>
            <w:rFonts w:hAnsi="宋体"/>
            <w:sz w:val="28"/>
            <w:szCs w:val="28"/>
          </w:rPr>
        </w:pPr>
        <w:r>
          <w:rPr>
            <w:rFonts w:hAnsi="宋体"/>
            <w:sz w:val="28"/>
            <w:szCs w:val="28"/>
          </w:rPr>
          <w:fldChar w:fldCharType="begin"/>
        </w:r>
        <w:r>
          <w:rPr>
            <w:rFonts w:hAnsi="宋体"/>
            <w:sz w:val="28"/>
            <w:szCs w:val="28"/>
          </w:rPr>
          <w:instrText xml:space="preserve">PAGE   \* MERGEFORMAT</w:instrText>
        </w:r>
        <w:r>
          <w:rPr>
            <w:rFonts w:hAnsi="宋体"/>
            <w:sz w:val="28"/>
            <w:szCs w:val="28"/>
          </w:rPr>
          <w:fldChar w:fldCharType="separate"/>
        </w:r>
        <w:r>
          <w:rPr>
            <w:rFonts w:hAnsi="宋体"/>
            <w:sz w:val="28"/>
            <w:szCs w:val="28"/>
            <w:lang w:val="zh-CN"/>
          </w:rPr>
          <w:t>20</w:t>
        </w:r>
        <w:r>
          <w:rPr>
            <w:rFonts w:hAnsi="宋体"/>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2D1462"/>
    <w:multiLevelType w:val="multilevel"/>
    <w:tmpl w:val="032D1462"/>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0DCF68E4"/>
    <w:multiLevelType w:val="multilevel"/>
    <w:tmpl w:val="0DCF68E4"/>
    <w:lvl w:ilvl="0" w:tentative="0">
      <w:start w:val="1"/>
      <w:numFmt w:val="decimal"/>
      <w:lvlText w:val="%1."/>
      <w:lvlJc w:val="left"/>
      <w:pPr>
        <w:ind w:left="420" w:hanging="420"/>
      </w:pPr>
      <w:rPr>
        <w:rFonts w:hint="eastAsia"/>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C3E24F0"/>
    <w:multiLevelType w:val="multilevel"/>
    <w:tmpl w:val="1C3E24F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07111BD"/>
    <w:multiLevelType w:val="multilevel"/>
    <w:tmpl w:val="307111B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2CB5A42"/>
    <w:multiLevelType w:val="multilevel"/>
    <w:tmpl w:val="32CB5A42"/>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C043109"/>
    <w:multiLevelType w:val="multilevel"/>
    <w:tmpl w:val="3C043109"/>
    <w:lvl w:ilvl="0" w:tentative="0">
      <w:start w:val="1"/>
      <w:numFmt w:val="japaneseCounting"/>
      <w:suff w:val="space"/>
      <w:lvlText w:val="第%1条"/>
      <w:lvlJc w:val="left"/>
      <w:pPr>
        <w:ind w:left="1550" w:hanging="1080"/>
      </w:pPr>
      <w:rPr>
        <w:rFonts w:hint="eastAsia"/>
        <w:b/>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6">
    <w:nsid w:val="6B056632"/>
    <w:multiLevelType w:val="multilevel"/>
    <w:tmpl w:val="6B056632"/>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6"/>
  </w:num>
  <w:num w:numId="3">
    <w:abstractNumId w:val="1"/>
  </w:num>
  <w:num w:numId="4">
    <w:abstractNumId w:val="2"/>
  </w:num>
  <w:num w:numId="5">
    <w:abstractNumId w:val="4"/>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1MjFlNWQ0YWExOWNkNmIyNjM0NTdmNzlhNzI2YmMifQ=="/>
  </w:docVars>
  <w:rsids>
    <w:rsidRoot w:val="33D874CD"/>
    <w:rsid w:val="1B472C9B"/>
    <w:rsid w:val="33D874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34"/>
      <w:lang w:val="en-US" w:eastAsia="zh-CN" w:bidi="ar-SA"/>
    </w:rPr>
  </w:style>
  <w:style w:type="paragraph" w:styleId="3">
    <w:name w:val="heading 1"/>
    <w:basedOn w:val="1"/>
    <w:next w:val="1"/>
    <w:qFormat/>
    <w:uiPriority w:val="99"/>
    <w:pPr>
      <w:keepNext/>
      <w:keepLines/>
      <w:spacing w:before="340" w:after="330" w:line="578" w:lineRule="auto"/>
      <w:outlineLvl w:val="0"/>
    </w:pPr>
    <w:rPr>
      <w:rFonts w:ascii="Times New Roman"/>
      <w:b/>
      <w:bCs/>
      <w:kern w:val="44"/>
      <w:sz w:val="44"/>
      <w:szCs w:val="44"/>
    </w:rPr>
  </w:style>
  <w:style w:type="paragraph" w:styleId="4">
    <w:name w:val="heading 2"/>
    <w:basedOn w:val="1"/>
    <w:next w:val="1"/>
    <w:qFormat/>
    <w:uiPriority w:val="99"/>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rPr>
      <w:rFonts w:ascii="Times New Roman"/>
      <w:kern w:val="2"/>
      <w:sz w:val="24"/>
    </w:rPr>
  </w:style>
  <w:style w:type="paragraph" w:styleId="5">
    <w:name w:val="Body Text Indent"/>
    <w:basedOn w:val="1"/>
    <w:qFormat/>
    <w:uiPriority w:val="99"/>
    <w:pPr>
      <w:autoSpaceDE w:val="0"/>
      <w:autoSpaceDN w:val="0"/>
      <w:adjustRightInd w:val="0"/>
      <w:spacing w:line="360" w:lineRule="auto"/>
      <w:ind w:firstLine="540" w:firstLineChars="180"/>
    </w:pPr>
    <w:rPr>
      <w:sz w:val="30"/>
    </w:rPr>
  </w:style>
  <w:style w:type="paragraph" w:styleId="6">
    <w:name w:val="footer"/>
    <w:basedOn w:val="1"/>
    <w:qFormat/>
    <w:uiPriority w:val="99"/>
    <w:pPr>
      <w:tabs>
        <w:tab w:val="center" w:pos="4153"/>
        <w:tab w:val="right" w:pos="8306"/>
      </w:tabs>
      <w:snapToGrid w:val="0"/>
      <w:jc w:val="left"/>
    </w:pPr>
    <w:rPr>
      <w:sz w:val="18"/>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2022-12-21T06:35:00Z</dcterms:created>
  <dc:creator>爱卿</dc:creator>
  <cp:lastModifiedBy>爱卿</cp:lastModifiedBy>
  <dcterms:modified xsi:type="dcterms:W3CDTF">2022-12-21T07:28:20Z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B24B4AC20E634087BBF82D2FB111E58B</vt:lpwstr>
  </property>
</Properties>
</file>