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德阳高新国有资本投资运营有限公司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default"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德阳高新区易家河坝乡村旅游区（4A）配套基础设施建设项目-游客集散接待中心一标段房屋安全鉴定服务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，结合本工程特点及服务工作内容，经仔细研究决定，我方（单位的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服务费金额为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元（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none"/>
        </w:rPr>
        <w:t>大写：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default" w:ascii="Times New Roman" w:hAnsi="Times New Roman" w:cs="Times New Roman"/>
          <w:b w:val="0"/>
          <w:color w:val="auto"/>
          <w:sz w:val="28"/>
          <w:szCs w:val="28"/>
        </w:rPr>
        <w:t>）。</w:t>
      </w:r>
    </w:p>
    <w:p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 xml:space="preserve"> 所有报价均用人民币表示，其总价即为履行合同的固定价格，该费用为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64AD75AB-3DBC-46DE-9507-5E375C0F0B98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4737C49A-37FB-40D3-B2CF-6B4760CB5D1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00000000"/>
    <w:rsid w:val="0EC96B12"/>
    <w:rsid w:val="37F17BF7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Y.</cp:lastModifiedBy>
  <dcterms:modified xsi:type="dcterms:W3CDTF">2023-12-15T07:50:55Z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4252E4429DC8463B812D313AFB65576B_12</vt:lpwstr>
  </property>
</Properties>
</file>