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jc w:val="center"/>
        <w:rPr>
          <w:rFonts w:ascii="黑体" w:eastAsia="黑体"/>
          <w:b/>
          <w:spacing w:val="60"/>
          <w:sz w:val="44"/>
          <w:szCs w:val="44"/>
        </w:rPr>
      </w:pPr>
      <w:r>
        <w:rPr>
          <w:rFonts w:hint="eastAsia" w:ascii="黑体" w:eastAsia="黑体"/>
          <w:b/>
          <w:spacing w:val="60"/>
          <w:sz w:val="44"/>
          <w:szCs w:val="44"/>
        </w:rPr>
        <w:t>资产评估委托合同</w:t>
      </w:r>
    </w:p>
    <w:p/>
    <w:p>
      <w:pPr>
        <w:widowControl/>
        <w:spacing w:line="540" w:lineRule="exact"/>
        <w:ind w:firstLine="480" w:firstLineChars="200"/>
        <w:jc w:val="left"/>
        <w:rPr>
          <w:rFonts w:ascii="宋体" w:hAnsi="宋体" w:cs="Tahoma"/>
          <w:color w:val="000000"/>
          <w:kern w:val="0"/>
          <w:sz w:val="24"/>
          <w:u w:val="single"/>
        </w:rPr>
      </w:pPr>
      <w:r>
        <w:rPr>
          <w:rFonts w:hint="eastAsia" w:ascii="宋体" w:hAnsi="宋体" w:cs="Tahoma"/>
          <w:color w:val="000000"/>
          <w:kern w:val="0"/>
          <w:sz w:val="24"/>
        </w:rPr>
        <w:t>委</w:t>
      </w:r>
      <w:r>
        <w:rPr>
          <w:rFonts w:hint="eastAsia" w:ascii="宋体" w:hAnsi="宋体" w:cs="Tahoma"/>
          <w:color w:val="000000"/>
          <w:kern w:val="0"/>
          <w:sz w:val="24"/>
          <w:lang w:val="en-US" w:eastAsia="zh-CN"/>
        </w:rPr>
        <w:t xml:space="preserve"> </w:t>
      </w:r>
      <w:r>
        <w:rPr>
          <w:rFonts w:hint="eastAsia" w:ascii="宋体" w:hAnsi="宋体" w:cs="Tahoma"/>
          <w:color w:val="000000"/>
          <w:kern w:val="0"/>
          <w:sz w:val="24"/>
        </w:rPr>
        <w:t>托</w:t>
      </w:r>
      <w:r>
        <w:rPr>
          <w:rFonts w:hint="eastAsia" w:ascii="宋体" w:hAnsi="宋体" w:cs="Tahoma"/>
          <w:color w:val="000000"/>
          <w:kern w:val="0"/>
          <w:sz w:val="24"/>
          <w:lang w:val="en-US" w:eastAsia="zh-CN"/>
        </w:rPr>
        <w:t xml:space="preserve"> </w:t>
      </w:r>
      <w:r>
        <w:rPr>
          <w:rFonts w:hint="eastAsia" w:ascii="宋体" w:hAnsi="宋体" w:cs="Tahoma"/>
          <w:color w:val="000000"/>
          <w:kern w:val="0"/>
          <w:sz w:val="24"/>
        </w:rPr>
        <w:t>人（甲方）：</w:t>
      </w:r>
      <w:r>
        <w:rPr>
          <w:rFonts w:hint="eastAsia" w:ascii="宋体" w:hAnsi="宋体" w:cs="Tahoma"/>
          <w:color w:val="000000"/>
          <w:kern w:val="0"/>
          <w:sz w:val="24"/>
          <w:u w:val="single"/>
        </w:rPr>
        <w:t xml:space="preserve">                               </w:t>
      </w:r>
    </w:p>
    <w:p>
      <w:pPr>
        <w:widowControl/>
        <w:spacing w:line="540" w:lineRule="exact"/>
        <w:ind w:firstLine="480" w:firstLineChars="200"/>
        <w:jc w:val="left"/>
        <w:rPr>
          <w:rFonts w:ascii="宋体" w:cs="Tahoma"/>
          <w:color w:val="000000"/>
          <w:kern w:val="0"/>
          <w:sz w:val="24"/>
          <w:u w:val="single"/>
        </w:rPr>
      </w:pPr>
      <w:r>
        <w:rPr>
          <w:rFonts w:hint="eastAsia" w:ascii="宋体" w:hAnsi="宋体" w:cs="Tahoma"/>
          <w:color w:val="000000"/>
          <w:kern w:val="0"/>
          <w:sz w:val="24"/>
        </w:rPr>
        <w:t>评估机构</w:t>
      </w:r>
      <w:r>
        <w:rPr>
          <w:rFonts w:hint="eastAsia" w:ascii="宋体" w:cs="Tahoma"/>
          <w:color w:val="000000"/>
          <w:kern w:val="0"/>
          <w:sz w:val="24"/>
        </w:rPr>
        <w:t>（乙方）：</w:t>
      </w:r>
      <w:r>
        <w:rPr>
          <w:rFonts w:hint="eastAsia" w:ascii="宋体" w:cs="Tahoma"/>
          <w:color w:val="000000"/>
          <w:kern w:val="0"/>
          <w:sz w:val="24"/>
          <w:u w:val="single"/>
        </w:rPr>
        <w:t xml:space="preserve">                               </w:t>
      </w:r>
    </w:p>
    <w:p>
      <w:pPr>
        <w:widowControl/>
        <w:spacing w:line="540" w:lineRule="exact"/>
        <w:ind w:firstLine="480" w:firstLineChars="200"/>
        <w:jc w:val="left"/>
        <w:rPr>
          <w:rFonts w:ascii="宋体" w:cs="Tahoma"/>
          <w:color w:val="000000"/>
          <w:kern w:val="0"/>
          <w:sz w:val="24"/>
        </w:rPr>
      </w:pPr>
      <w:r>
        <w:rPr>
          <w:rFonts w:hint="eastAsia" w:ascii="宋体" w:hAnsi="宋体" w:cs="Tahoma"/>
          <w:color w:val="000000"/>
          <w:kern w:val="0"/>
          <w:sz w:val="24"/>
        </w:rPr>
        <w:t>根据《中华人民共和国</w:t>
      </w:r>
      <w:r>
        <w:rPr>
          <w:rFonts w:hint="eastAsia" w:ascii="宋体" w:hAnsi="宋体" w:cs="Tahoma"/>
          <w:color w:val="000000"/>
          <w:kern w:val="0"/>
          <w:sz w:val="24"/>
          <w:lang w:val="en-US" w:eastAsia="zh-CN"/>
        </w:rPr>
        <w:t>民法典</w:t>
      </w:r>
      <w:r>
        <w:rPr>
          <w:rFonts w:hint="eastAsia" w:ascii="宋体" w:hAnsi="宋体" w:cs="Tahoma"/>
          <w:color w:val="000000"/>
          <w:kern w:val="0"/>
          <w:sz w:val="24"/>
        </w:rPr>
        <w:t>》、《中华人民共和国资产评估法》和《资产评估准则</w:t>
      </w:r>
      <w:r>
        <w:rPr>
          <w:rFonts w:ascii="宋体" w:hAnsi="宋体" w:cs="Tahoma"/>
          <w:color w:val="000000"/>
          <w:kern w:val="0"/>
          <w:sz w:val="24"/>
        </w:rPr>
        <w:t>——</w:t>
      </w:r>
      <w:r>
        <w:rPr>
          <w:rFonts w:hint="eastAsia" w:ascii="宋体" w:hAnsi="宋体" w:cs="Tahoma"/>
          <w:color w:val="000000"/>
          <w:kern w:val="0"/>
          <w:sz w:val="24"/>
        </w:rPr>
        <w:t>基本准则》以及《资产评估执业准则</w:t>
      </w:r>
      <w:r>
        <w:rPr>
          <w:rFonts w:ascii="宋体" w:hAnsi="宋体" w:cs="Tahoma"/>
          <w:color w:val="000000"/>
          <w:kern w:val="0"/>
          <w:sz w:val="24"/>
        </w:rPr>
        <w:t>——</w:t>
      </w:r>
      <w:r>
        <w:rPr>
          <w:rFonts w:hint="eastAsia" w:ascii="宋体" w:hAnsi="宋体" w:cs="Tahoma"/>
          <w:color w:val="000000"/>
          <w:kern w:val="0"/>
          <w:sz w:val="24"/>
        </w:rPr>
        <w:t>资产评估委托合同》，为维护社会公共利益和资产评估各方当事人合法权益，明确评估机构和委托人及被评估单位的权利义务，经双方协商一致，订立资产评估委托合同</w:t>
      </w:r>
      <w:r>
        <w:rPr>
          <w:rFonts w:ascii="宋体" w:hAnsi="宋体" w:cs="Tahoma"/>
          <w:color w:val="000000"/>
          <w:kern w:val="0"/>
          <w:sz w:val="24"/>
        </w:rPr>
        <w:t>(</w:t>
      </w:r>
      <w:r>
        <w:rPr>
          <w:rFonts w:hint="eastAsia" w:ascii="宋体" w:hAnsi="宋体" w:cs="Tahoma"/>
          <w:color w:val="000000"/>
          <w:kern w:val="0"/>
          <w:sz w:val="24"/>
        </w:rPr>
        <w:t>以下简称“委托合同”</w:t>
      </w:r>
      <w:r>
        <w:rPr>
          <w:rFonts w:ascii="宋体" w:hAnsi="宋体" w:cs="Tahoma"/>
          <w:color w:val="000000"/>
          <w:kern w:val="0"/>
          <w:sz w:val="24"/>
        </w:rPr>
        <w:t>)</w:t>
      </w:r>
      <w:r>
        <w:rPr>
          <w:rFonts w:hint="eastAsia" w:ascii="宋体" w:hAnsi="宋体" w:cs="Tahoma"/>
          <w:color w:val="000000"/>
          <w:kern w:val="0"/>
          <w:sz w:val="24"/>
        </w:rPr>
        <w:t>，对评估事项做如下约定：</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一、委托人和评估机构的名称、地址</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1</w:t>
      </w:r>
      <w:r>
        <w:rPr>
          <w:rFonts w:hint="eastAsia" w:ascii="宋体" w:hAnsi="宋体" w:cs="Tahoma"/>
          <w:color w:val="000000"/>
          <w:kern w:val="0"/>
          <w:sz w:val="24"/>
        </w:rPr>
        <w:t>、甲方：委托方</w:t>
      </w:r>
      <w:bookmarkStart w:id="0" w:name="_GoBack"/>
      <w:bookmarkEnd w:id="0"/>
    </w:p>
    <w:p>
      <w:pPr>
        <w:widowControl/>
        <w:spacing w:line="540" w:lineRule="exact"/>
        <w:ind w:firstLine="480" w:firstLineChars="200"/>
        <w:jc w:val="left"/>
        <w:rPr>
          <w:rFonts w:ascii="宋体" w:cs="Tahoma"/>
          <w:color w:val="000000"/>
          <w:kern w:val="0"/>
          <w:sz w:val="24"/>
          <w:u w:val="single"/>
        </w:rPr>
      </w:pPr>
      <w:r>
        <w:rPr>
          <w:rFonts w:hint="eastAsia" w:ascii="宋体" w:hAnsi="宋体" w:cs="Tahoma"/>
          <w:color w:val="000000"/>
          <w:kern w:val="0"/>
          <w:sz w:val="24"/>
        </w:rPr>
        <w:t>名</w:t>
      </w:r>
      <w:r>
        <w:rPr>
          <w:rFonts w:ascii="宋体" w:hAnsi="宋体" w:cs="Tahoma"/>
          <w:color w:val="000000"/>
          <w:kern w:val="0"/>
          <w:sz w:val="24"/>
        </w:rPr>
        <w:t xml:space="preserve">    </w:t>
      </w:r>
      <w:r>
        <w:rPr>
          <w:rFonts w:hint="eastAsia" w:ascii="宋体" w:hAnsi="宋体" w:cs="Tahoma"/>
          <w:color w:val="000000"/>
          <w:kern w:val="0"/>
          <w:sz w:val="24"/>
        </w:rPr>
        <w:t>称：</w:t>
      </w:r>
      <w:r>
        <w:rPr>
          <w:rFonts w:hint="eastAsia" w:ascii="宋体" w:hAnsi="宋体" w:cs="Tahoma"/>
          <w:color w:val="000000"/>
          <w:kern w:val="0"/>
          <w:sz w:val="24"/>
          <w:u w:val="single"/>
        </w:rPr>
        <w:t xml:space="preserve">                                   </w:t>
      </w:r>
      <w:r>
        <w:rPr>
          <w:rFonts w:ascii="宋体" w:hAnsi="宋体" w:cs="Tahoma"/>
          <w:color w:val="000000"/>
          <w:kern w:val="0"/>
          <w:sz w:val="24"/>
          <w:u w:val="single"/>
        </w:rPr>
        <w:t xml:space="preserve">     </w:t>
      </w:r>
    </w:p>
    <w:p>
      <w:pPr>
        <w:widowControl/>
        <w:spacing w:line="540" w:lineRule="exact"/>
        <w:ind w:firstLine="480" w:firstLineChars="200"/>
        <w:jc w:val="left"/>
        <w:rPr>
          <w:rFonts w:ascii="宋体" w:cs="Tahoma"/>
          <w:color w:val="000000"/>
          <w:kern w:val="0"/>
          <w:sz w:val="24"/>
        </w:rPr>
      </w:pPr>
      <w:r>
        <w:rPr>
          <w:rFonts w:hint="eastAsia" w:ascii="宋体" w:hAnsi="宋体" w:cs="Tahoma"/>
          <w:kern w:val="0"/>
          <w:sz w:val="24"/>
        </w:rPr>
        <w:t>地    址：</w:t>
      </w:r>
      <w:r>
        <w:rPr>
          <w:rFonts w:hint="eastAsia" w:ascii="宋体" w:hAnsi="宋体" w:cs="Tahoma"/>
          <w:color w:val="000000"/>
          <w:kern w:val="0"/>
          <w:sz w:val="24"/>
          <w:u w:val="single"/>
        </w:rPr>
        <w:t xml:space="preserve">                                        </w:t>
      </w:r>
    </w:p>
    <w:p>
      <w:pPr>
        <w:widowControl/>
        <w:spacing w:line="540" w:lineRule="exact"/>
        <w:ind w:firstLine="480" w:firstLineChars="200"/>
        <w:jc w:val="left"/>
        <w:rPr>
          <w:rFonts w:ascii="宋体" w:hAnsi="宋体" w:cs="Tahoma"/>
          <w:color w:val="000000"/>
          <w:kern w:val="0"/>
          <w:sz w:val="24"/>
        </w:rPr>
      </w:pPr>
      <w:r>
        <w:rPr>
          <w:rFonts w:ascii="宋体" w:hAnsi="宋体" w:cs="Tahoma"/>
          <w:color w:val="000000"/>
          <w:kern w:val="0"/>
          <w:sz w:val="24"/>
        </w:rPr>
        <w:t>2</w:t>
      </w:r>
      <w:r>
        <w:rPr>
          <w:rFonts w:hint="eastAsia" w:ascii="宋体" w:hAnsi="宋体" w:cs="Tahoma"/>
          <w:color w:val="000000"/>
          <w:kern w:val="0"/>
          <w:sz w:val="24"/>
        </w:rPr>
        <w:t>、</w:t>
      </w:r>
      <w:r>
        <w:rPr>
          <w:rFonts w:hint="eastAsia" w:ascii="宋体" w:cs="Tahoma"/>
          <w:color w:val="000000"/>
          <w:kern w:val="0"/>
          <w:sz w:val="24"/>
        </w:rPr>
        <w:t>乙方：</w:t>
      </w:r>
      <w:r>
        <w:rPr>
          <w:rFonts w:hint="eastAsia" w:ascii="宋体" w:hAnsi="宋体" w:cs="Tahoma"/>
          <w:color w:val="000000"/>
          <w:kern w:val="0"/>
          <w:sz w:val="24"/>
        </w:rPr>
        <w:t>受托方（评估机构）</w:t>
      </w:r>
    </w:p>
    <w:p>
      <w:pPr>
        <w:widowControl/>
        <w:spacing w:line="540" w:lineRule="exact"/>
        <w:ind w:firstLine="480" w:firstLineChars="200"/>
        <w:jc w:val="left"/>
        <w:rPr>
          <w:rFonts w:ascii="宋体" w:cs="Tahoma"/>
          <w:color w:val="000000"/>
          <w:kern w:val="0"/>
          <w:sz w:val="24"/>
          <w:u w:val="single"/>
        </w:rPr>
      </w:pPr>
      <w:r>
        <w:rPr>
          <w:rFonts w:hint="eastAsia" w:ascii="宋体" w:hAnsi="宋体" w:cs="Tahoma"/>
          <w:color w:val="000000"/>
          <w:kern w:val="0"/>
          <w:sz w:val="24"/>
        </w:rPr>
        <w:t>名    称：</w:t>
      </w:r>
      <w:r>
        <w:rPr>
          <w:rFonts w:hint="eastAsia" w:ascii="宋体" w:cs="Tahoma"/>
          <w:color w:val="000000"/>
          <w:kern w:val="0"/>
          <w:sz w:val="24"/>
          <w:u w:val="single"/>
        </w:rPr>
        <w:t xml:space="preserve">                                        </w:t>
      </w:r>
    </w:p>
    <w:p>
      <w:pPr>
        <w:widowControl/>
        <w:spacing w:line="540" w:lineRule="exact"/>
        <w:ind w:firstLine="480" w:firstLineChars="200"/>
        <w:jc w:val="left"/>
        <w:rPr>
          <w:rFonts w:ascii="宋体" w:cs="Tahoma"/>
          <w:color w:val="000000"/>
          <w:kern w:val="0"/>
          <w:sz w:val="24"/>
          <w:u w:val="single"/>
        </w:rPr>
      </w:pPr>
      <w:r>
        <w:rPr>
          <w:rFonts w:hint="eastAsia" w:ascii="宋体" w:hAnsi="宋体" w:cs="Tahoma"/>
          <w:kern w:val="0"/>
          <w:sz w:val="24"/>
        </w:rPr>
        <w:t>地    址</w:t>
      </w:r>
      <w:r>
        <w:rPr>
          <w:rFonts w:hint="eastAsia" w:ascii="宋体" w:hAnsi="宋体" w:cs="Tahoma"/>
          <w:color w:val="000000"/>
          <w:kern w:val="0"/>
          <w:sz w:val="24"/>
        </w:rPr>
        <w:t>：</w:t>
      </w:r>
      <w:r>
        <w:rPr>
          <w:rFonts w:hint="eastAsia" w:ascii="宋体" w:hAnsi="宋体" w:cs="Tahoma"/>
          <w:color w:val="000000"/>
          <w:kern w:val="0"/>
          <w:sz w:val="24"/>
          <w:u w:val="single"/>
        </w:rPr>
        <w:t xml:space="preserve">                                        </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二、评估目的</w:t>
      </w:r>
    </w:p>
    <w:p>
      <w:pPr>
        <w:widowControl/>
        <w:spacing w:line="540" w:lineRule="exact"/>
        <w:ind w:left="105" w:leftChars="50" w:firstLine="360" w:firstLineChars="150"/>
        <w:jc w:val="left"/>
        <w:rPr>
          <w:rFonts w:ascii="宋体" w:cs="Tahoma"/>
          <w:color w:val="000000"/>
          <w:kern w:val="0"/>
          <w:sz w:val="24"/>
          <w:u w:val="single"/>
        </w:rPr>
      </w:pPr>
      <w:r>
        <w:rPr>
          <w:rFonts w:hint="eastAsia" w:ascii="宋体" w:hAnsi="宋体" w:cs="Tahoma"/>
          <w:color w:val="000000"/>
          <w:kern w:val="0"/>
          <w:sz w:val="24"/>
          <w:u w:val="single"/>
        </w:rPr>
        <w:t>因</w:t>
      </w:r>
      <w:r>
        <w:rPr>
          <w:rFonts w:hint="eastAsia" w:ascii="宋体" w:hAnsi="宋体"/>
          <w:sz w:val="24"/>
          <w:u w:val="single"/>
        </w:rPr>
        <w:t>甲方拟收购**公司的</w:t>
      </w:r>
      <w:r>
        <w:rPr>
          <w:rFonts w:hint="eastAsia" w:ascii="宋体" w:hAnsi="宋体" w:cs="Tahoma"/>
          <w:color w:val="000000"/>
          <w:kern w:val="0"/>
          <w:sz w:val="24"/>
          <w:u w:val="single"/>
        </w:rPr>
        <w:t>需要，************委托***********对***********的股权价值进行评估。</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三、评估对象和评估范围：</w:t>
      </w:r>
    </w:p>
    <w:p>
      <w:pPr>
        <w:widowControl/>
        <w:spacing w:line="540" w:lineRule="exact"/>
        <w:ind w:firstLine="480" w:firstLineChars="200"/>
        <w:jc w:val="left"/>
        <w:rPr>
          <w:rFonts w:ascii="宋体" w:cs="Tahoma"/>
          <w:color w:val="000000"/>
          <w:kern w:val="0"/>
          <w:sz w:val="24"/>
          <w:u w:val="single"/>
        </w:rPr>
      </w:pPr>
      <w:r>
        <w:rPr>
          <w:rFonts w:ascii="宋体" w:hAnsi="宋体" w:cs="Tahoma"/>
          <w:color w:val="000000"/>
          <w:kern w:val="0"/>
          <w:sz w:val="24"/>
        </w:rPr>
        <w:t>1</w:t>
      </w:r>
      <w:r>
        <w:rPr>
          <w:rFonts w:hint="eastAsia" w:ascii="宋体" w:hAnsi="宋体" w:cs="Tahoma"/>
          <w:color w:val="000000"/>
          <w:kern w:val="0"/>
          <w:sz w:val="24"/>
        </w:rPr>
        <w:t>、评估对象：</w:t>
      </w:r>
      <w:r>
        <w:rPr>
          <w:rFonts w:hint="eastAsia" w:ascii="宋体" w:hAnsi="宋体" w:cs="Tahoma"/>
          <w:color w:val="000000"/>
          <w:kern w:val="0"/>
          <w:sz w:val="24"/>
          <w:u w:val="single"/>
        </w:rPr>
        <w:t xml:space="preserve">******************************            </w:t>
      </w:r>
      <w:r>
        <w:rPr>
          <w:rFonts w:ascii="宋体" w:hAnsi="宋体" w:cs="Tahoma"/>
          <w:color w:val="000000"/>
          <w:kern w:val="0"/>
          <w:sz w:val="24"/>
        </w:rPr>
        <w:t xml:space="preserve"> </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2</w:t>
      </w:r>
      <w:r>
        <w:rPr>
          <w:rFonts w:hint="eastAsia" w:ascii="宋体" w:hAnsi="宋体" w:cs="Tahoma"/>
          <w:color w:val="000000"/>
          <w:kern w:val="0"/>
          <w:sz w:val="24"/>
        </w:rPr>
        <w:t>、评估范围：</w:t>
      </w:r>
      <w:r>
        <w:rPr>
          <w:rFonts w:hint="eastAsia" w:ascii="宋体" w:hAnsi="宋体" w:cs="Tahoma"/>
          <w:color w:val="000000"/>
          <w:kern w:val="0"/>
          <w:sz w:val="24"/>
          <w:u w:val="single"/>
        </w:rPr>
        <w:t xml:space="preserve">公司的各项资产（包括有形资产、无形资产）、负债的市场价值。 </w:t>
      </w:r>
      <w:r>
        <w:rPr>
          <w:rFonts w:ascii="宋体" w:hAnsi="宋体" w:cs="Tahoma"/>
          <w:color w:val="000000"/>
          <w:kern w:val="0"/>
          <w:sz w:val="24"/>
        </w:rPr>
        <w:t xml:space="preserve">                                       </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四、评估基准日</w:t>
      </w:r>
    </w:p>
    <w:p>
      <w:pPr>
        <w:widowControl/>
        <w:spacing w:line="540" w:lineRule="exact"/>
        <w:ind w:firstLine="480" w:firstLineChars="200"/>
        <w:jc w:val="left"/>
        <w:rPr>
          <w:rFonts w:ascii="宋体" w:cs="Tahoma"/>
          <w:color w:val="000000"/>
          <w:kern w:val="0"/>
          <w:sz w:val="24"/>
          <w:u w:val="single"/>
        </w:rPr>
      </w:pPr>
      <w:r>
        <w:rPr>
          <w:rFonts w:hint="eastAsia" w:ascii="宋体" w:hAnsi="宋体"/>
          <w:sz w:val="24"/>
          <w:u w:val="single"/>
        </w:rPr>
        <w:t>****年**月**日</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五、评估报告使用范围</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1</w:t>
      </w:r>
      <w:r>
        <w:rPr>
          <w:rFonts w:hint="eastAsia" w:ascii="宋体" w:hAnsi="宋体" w:cs="Tahoma"/>
          <w:color w:val="000000"/>
          <w:kern w:val="0"/>
          <w:sz w:val="24"/>
        </w:rPr>
        <w:t>、评估报告仅供委托人及与本评估目的相关的审查部门等使用，法律、法规另有规定的除外。</w:t>
      </w:r>
      <w:r>
        <w:rPr>
          <w:rFonts w:ascii="宋体" w:hAnsi="宋体" w:cs="Tahoma"/>
          <w:color w:val="000000"/>
          <w:kern w:val="0"/>
          <w:sz w:val="24"/>
        </w:rPr>
        <w:t xml:space="preserve"> </w:t>
      </w:r>
    </w:p>
    <w:p>
      <w:pPr>
        <w:widowControl/>
        <w:spacing w:line="540" w:lineRule="exact"/>
        <w:ind w:firstLine="480" w:firstLineChars="200"/>
        <w:jc w:val="left"/>
        <w:rPr>
          <w:rFonts w:ascii="宋体"/>
          <w:sz w:val="24"/>
        </w:rPr>
      </w:pPr>
      <w:r>
        <w:rPr>
          <w:rFonts w:ascii="宋体" w:hAnsi="宋体" w:cs="Tahoma"/>
          <w:color w:val="000000"/>
          <w:kern w:val="0"/>
          <w:sz w:val="24"/>
        </w:rPr>
        <w:t>2</w:t>
      </w:r>
      <w:r>
        <w:rPr>
          <w:rFonts w:hint="eastAsia" w:ascii="宋体" w:hAnsi="宋体" w:cs="Tahoma"/>
          <w:color w:val="000000"/>
          <w:kern w:val="0"/>
          <w:sz w:val="24"/>
        </w:rPr>
        <w:t>、资产评估报告仅供</w:t>
      </w:r>
      <w:r>
        <w:rPr>
          <w:rFonts w:hint="eastAsia" w:ascii="宋体" w:hAnsi="宋体"/>
          <w:sz w:val="24"/>
        </w:rPr>
        <w:t>资产评估委托合同约定的和法律、行政法规规定的使用人，其他任何机构和个人不能成为资产评估报告的使用人。</w:t>
      </w:r>
    </w:p>
    <w:p>
      <w:pPr>
        <w:snapToGrid w:val="0"/>
        <w:spacing w:line="540" w:lineRule="exact"/>
        <w:ind w:firstLine="480" w:firstLineChars="200"/>
        <w:jc w:val="left"/>
        <w:rPr>
          <w:rFonts w:ascii="宋体"/>
          <w:sz w:val="24"/>
        </w:rPr>
      </w:pPr>
      <w:r>
        <w:rPr>
          <w:rFonts w:ascii="宋体" w:hAnsi="宋体"/>
          <w:sz w:val="24"/>
        </w:rPr>
        <w:t>3</w:t>
      </w:r>
      <w:r>
        <w:rPr>
          <w:rFonts w:hint="eastAsia" w:ascii="宋体" w:hAnsi="宋体"/>
          <w:sz w:val="24"/>
        </w:rPr>
        <w:t>、委托人及其他资产评估报告使用人应当按照法律、行政法规规定和资产评估报告载明的使用目的及用途使用资产评估报告。委托人及其他资产评估报告使用人违反前述约定使用资产评估报告的，资产评估机构及其资产评估专业人员不承担责任。</w:t>
      </w:r>
    </w:p>
    <w:p>
      <w:pPr>
        <w:widowControl/>
        <w:spacing w:line="540" w:lineRule="exact"/>
        <w:ind w:firstLine="480" w:firstLineChars="200"/>
        <w:jc w:val="left"/>
        <w:rPr>
          <w:rFonts w:ascii="宋体"/>
          <w:sz w:val="24"/>
        </w:rPr>
      </w:pPr>
      <w:r>
        <w:rPr>
          <w:rFonts w:ascii="宋体" w:hAnsi="宋体"/>
          <w:sz w:val="24"/>
        </w:rPr>
        <w:t>4</w:t>
      </w:r>
      <w:r>
        <w:rPr>
          <w:rFonts w:hint="eastAsia" w:ascii="宋体" w:hAnsi="宋体"/>
          <w:sz w:val="24"/>
        </w:rPr>
        <w:t>、委托人应当在载明的评估结论使用有效期内使用资产评估报告；</w:t>
      </w:r>
    </w:p>
    <w:p>
      <w:pPr>
        <w:widowControl/>
        <w:spacing w:line="540" w:lineRule="exact"/>
        <w:ind w:firstLine="480" w:firstLineChars="200"/>
        <w:jc w:val="left"/>
        <w:rPr>
          <w:rFonts w:ascii="宋体" w:cs="Tahoma"/>
          <w:color w:val="000000"/>
          <w:kern w:val="0"/>
          <w:sz w:val="24"/>
          <w:u w:val="single"/>
        </w:rPr>
      </w:pPr>
      <w:r>
        <w:rPr>
          <w:rFonts w:ascii="宋体" w:hAnsi="宋体"/>
          <w:sz w:val="24"/>
        </w:rPr>
        <w:t>5</w:t>
      </w:r>
      <w:r>
        <w:rPr>
          <w:rFonts w:hint="eastAsia" w:ascii="宋体" w:hAnsi="宋体"/>
          <w:sz w:val="24"/>
        </w:rPr>
        <w:t>、未经委托人书面许可，资产评估机构及其资产评估专业人员不得将资产评估报告的内容向第三方提供或者公开，法律、行政法规另有规定的除外；未征得资产评估机构同意，资产评估报告的内容不得摘抄、引用或者披露于公开媒体，法律、行政法规规定以及相关当事人另有约定的除外。</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六、评估报告提交期限和方式</w:t>
      </w:r>
    </w:p>
    <w:p>
      <w:pPr>
        <w:widowControl/>
        <w:spacing w:line="540" w:lineRule="exact"/>
        <w:ind w:firstLine="480" w:firstLineChars="200"/>
        <w:jc w:val="left"/>
        <w:rPr>
          <w:rFonts w:ascii="宋体" w:cs="Tahoma"/>
          <w:color w:val="000000"/>
          <w:kern w:val="0"/>
          <w:sz w:val="24"/>
        </w:rPr>
      </w:pPr>
      <w:r>
        <w:rPr>
          <w:rFonts w:hint="eastAsia" w:ascii="宋体" w:hAnsi="宋体" w:cs="Tahoma"/>
          <w:color w:val="000000"/>
          <w:kern w:val="0"/>
          <w:sz w:val="24"/>
        </w:rPr>
        <w:t>评估机构</w:t>
      </w:r>
      <w:r>
        <w:rPr>
          <w:rFonts w:hint="eastAsia" w:ascii="宋体" w:hAnsi="宋体" w:cs="Tahoma"/>
          <w:color w:val="000000"/>
          <w:kern w:val="0"/>
          <w:sz w:val="24"/>
          <w:lang w:val="en-US" w:eastAsia="zh-CN"/>
        </w:rPr>
        <w:t>出具书面资料清单后委托人按照书面清单提供评估所需全部资料，评估机构在</w:t>
      </w:r>
      <w:r>
        <w:rPr>
          <w:rFonts w:hint="eastAsia" w:ascii="宋体" w:hAnsi="宋体" w:cs="Tahoma"/>
          <w:color w:val="000000"/>
          <w:kern w:val="0"/>
          <w:sz w:val="24"/>
        </w:rPr>
        <w:t>收到委托人提供的本次评估所需全部资料后</w:t>
      </w:r>
      <w:r>
        <w:rPr>
          <w:rFonts w:ascii="宋体" w:hAnsi="宋体" w:cs="Tahoma"/>
          <w:color w:val="000000"/>
          <w:kern w:val="0"/>
          <w:sz w:val="24"/>
          <w:u w:val="single"/>
        </w:rPr>
        <w:t xml:space="preserve"> </w:t>
      </w:r>
      <w:r>
        <w:rPr>
          <w:rFonts w:hint="eastAsia" w:ascii="宋体" w:hAnsi="宋体" w:cs="Tahoma"/>
          <w:color w:val="000000"/>
          <w:kern w:val="0"/>
          <w:sz w:val="24"/>
          <w:u w:val="single"/>
        </w:rPr>
        <w:t>**</w:t>
      </w:r>
      <w:r>
        <w:rPr>
          <w:rFonts w:hint="eastAsia" w:ascii="宋体" w:hAnsi="宋体" w:cs="Tahoma"/>
          <w:color w:val="000000"/>
          <w:kern w:val="0"/>
          <w:sz w:val="24"/>
        </w:rPr>
        <w:t>个工作日内完成受托的评估工作，向委托人提供正式评估报告交换意见稿，根据委托人要求和通知出具正式的</w:t>
      </w:r>
      <w:r>
        <w:rPr>
          <w:rFonts w:hint="eastAsia" w:ascii="宋体" w:hAnsi="宋体" w:cs="Tahoma"/>
          <w:color w:val="000000"/>
          <w:kern w:val="0"/>
          <w:sz w:val="24"/>
          <w:u w:val="single"/>
        </w:rPr>
        <w:t>《资产评估报告书》壹式**份</w:t>
      </w:r>
      <w:r>
        <w:rPr>
          <w:rFonts w:ascii="宋体" w:hAnsi="宋体" w:cs="Tahoma"/>
          <w:color w:val="000000"/>
          <w:kern w:val="0"/>
          <w:sz w:val="24"/>
          <w:u w:val="single"/>
        </w:rPr>
        <w:t xml:space="preserve"> </w:t>
      </w:r>
      <w:r>
        <w:rPr>
          <w:rFonts w:hint="eastAsia" w:ascii="宋体" w:hAnsi="宋体" w:cs="Tahoma"/>
          <w:color w:val="000000"/>
          <w:kern w:val="0"/>
          <w:sz w:val="24"/>
        </w:rPr>
        <w:t>。若因不可抗力因素需延长或提前完成评估工作，双方需另行协商。</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七、评估服务费总额、支付时间和方式</w:t>
      </w:r>
    </w:p>
    <w:p>
      <w:pPr>
        <w:spacing w:line="540" w:lineRule="exact"/>
        <w:ind w:firstLine="480" w:firstLineChars="200"/>
        <w:jc w:val="left"/>
        <w:rPr>
          <w:rFonts w:ascii="黑体" w:hAnsi="宋体" w:eastAsia="黑体" w:cs="Tahoma"/>
          <w:b/>
          <w:bCs/>
          <w:color w:val="000000"/>
          <w:kern w:val="0"/>
          <w:sz w:val="24"/>
        </w:rPr>
      </w:pPr>
      <w:r>
        <w:rPr>
          <w:rFonts w:ascii="宋体" w:hAnsi="宋体"/>
          <w:bCs/>
          <w:iCs/>
          <w:sz w:val="24"/>
        </w:rPr>
        <w:t>1</w:t>
      </w:r>
      <w:r>
        <w:rPr>
          <w:rFonts w:hint="eastAsia" w:ascii="宋体" w:hAnsi="宋体"/>
          <w:bCs/>
          <w:iCs/>
          <w:sz w:val="24"/>
        </w:rPr>
        <w:t>、</w:t>
      </w:r>
      <w:r>
        <w:rPr>
          <w:rFonts w:hint="eastAsia" w:ascii="黑体" w:hAnsi="宋体" w:eastAsia="黑体" w:cs="Tahoma"/>
          <w:b/>
          <w:bCs/>
          <w:color w:val="000000"/>
          <w:kern w:val="0"/>
          <w:sz w:val="24"/>
        </w:rPr>
        <w:t>服务费总额</w:t>
      </w:r>
    </w:p>
    <w:p>
      <w:pPr>
        <w:spacing w:line="540" w:lineRule="exact"/>
        <w:ind w:firstLine="480" w:firstLineChars="200"/>
        <w:jc w:val="left"/>
        <w:rPr>
          <w:rFonts w:ascii="宋体"/>
          <w:bCs/>
          <w:iCs/>
          <w:sz w:val="24"/>
        </w:rPr>
      </w:pPr>
      <w:r>
        <w:rPr>
          <w:rFonts w:hint="eastAsia" w:ascii="宋体" w:hAnsi="宋体" w:cs="宋体"/>
          <w:kern w:val="1"/>
          <w:sz w:val="24"/>
        </w:rPr>
        <w:t>根据本次资产评估的实际情况</w:t>
      </w:r>
      <w:r>
        <w:rPr>
          <w:rFonts w:ascii="宋体" w:hAnsi="宋体" w:cs="宋体"/>
          <w:kern w:val="1"/>
          <w:sz w:val="24"/>
        </w:rPr>
        <w:t>,</w:t>
      </w:r>
      <w:r>
        <w:rPr>
          <w:rFonts w:hint="eastAsia" w:ascii="宋体" w:hAnsi="宋体" w:cs="宋体"/>
          <w:kern w:val="1"/>
          <w:sz w:val="24"/>
        </w:rPr>
        <w:t>考虑受托人的实际工作量</w:t>
      </w:r>
      <w:r>
        <w:rPr>
          <w:rFonts w:ascii="宋体" w:hAnsi="宋体" w:cs="宋体"/>
          <w:kern w:val="1"/>
          <w:sz w:val="24"/>
        </w:rPr>
        <w:t>,</w:t>
      </w:r>
      <w:r>
        <w:rPr>
          <w:rFonts w:hint="eastAsia" w:ascii="宋体" w:hAnsi="宋体" w:cs="宋体"/>
          <w:kern w:val="1"/>
          <w:sz w:val="24"/>
        </w:rPr>
        <w:t>经与委托人约定</w:t>
      </w:r>
      <w:r>
        <w:rPr>
          <w:rFonts w:ascii="宋体" w:hAnsi="宋体" w:cs="宋体"/>
          <w:kern w:val="1"/>
          <w:sz w:val="24"/>
        </w:rPr>
        <w:t xml:space="preserve">, </w:t>
      </w:r>
      <w:r>
        <w:rPr>
          <w:rFonts w:hint="eastAsia" w:ascii="宋体" w:hAnsi="宋体" w:cs="宋体"/>
          <w:kern w:val="1"/>
          <w:sz w:val="24"/>
        </w:rPr>
        <w:t>参照川评协（2017）23号文件收费标</w:t>
      </w:r>
      <w:r>
        <w:rPr>
          <w:rFonts w:hint="eastAsia" w:ascii="宋体" w:hAnsi="宋体"/>
          <w:sz w:val="24"/>
        </w:rPr>
        <w:t>准打折收取评估费用</w:t>
      </w:r>
      <w:r>
        <w:rPr>
          <w:rFonts w:hint="eastAsia" w:ascii="宋体" w:hAnsi="宋体" w:cs="宋体"/>
          <w:kern w:val="1"/>
          <w:sz w:val="24"/>
        </w:rPr>
        <w:t>，与委托人约定此项资产评估收费为</w:t>
      </w:r>
      <w:r>
        <w:rPr>
          <w:rFonts w:hint="eastAsia" w:ascii="宋体" w:hAnsi="宋体" w:cs="宋体"/>
          <w:kern w:val="1"/>
          <w:sz w:val="24"/>
          <w:u w:val="single"/>
        </w:rPr>
        <w:t>******元</w:t>
      </w:r>
      <w:r>
        <w:rPr>
          <w:rFonts w:hint="eastAsia" w:ascii="宋体" w:hAnsi="宋体" w:cs="宋体"/>
          <w:kern w:val="1"/>
          <w:sz w:val="24"/>
        </w:rPr>
        <w:t>（大写人民币</w:t>
      </w:r>
      <w:r>
        <w:rPr>
          <w:rFonts w:hint="eastAsia" w:ascii="宋体" w:hAnsi="宋体" w:cs="宋体"/>
          <w:kern w:val="1"/>
          <w:sz w:val="24"/>
          <w:u w:val="single"/>
        </w:rPr>
        <w:t>********</w:t>
      </w:r>
      <w:r>
        <w:rPr>
          <w:rFonts w:hint="eastAsia" w:ascii="宋体" w:hAnsi="宋体" w:cs="宋体"/>
          <w:kern w:val="1"/>
          <w:sz w:val="24"/>
        </w:rPr>
        <w:t>整）。</w:t>
      </w:r>
    </w:p>
    <w:p>
      <w:pPr>
        <w:spacing w:line="540" w:lineRule="exact"/>
        <w:ind w:firstLine="480" w:firstLineChars="200"/>
        <w:jc w:val="left"/>
        <w:rPr>
          <w:rFonts w:ascii="黑体" w:hAnsi="宋体" w:eastAsia="黑体" w:cs="Tahoma"/>
          <w:b/>
          <w:bCs/>
          <w:color w:val="000000"/>
          <w:kern w:val="0"/>
          <w:sz w:val="24"/>
        </w:rPr>
      </w:pPr>
      <w:r>
        <w:rPr>
          <w:rFonts w:ascii="宋体" w:hAnsi="宋体"/>
          <w:bCs/>
          <w:iCs/>
          <w:sz w:val="24"/>
        </w:rPr>
        <w:t>2</w:t>
      </w:r>
      <w:r>
        <w:rPr>
          <w:rFonts w:hint="eastAsia" w:ascii="宋体" w:hAnsi="宋体"/>
          <w:bCs/>
          <w:iCs/>
          <w:sz w:val="24"/>
        </w:rPr>
        <w:t>、</w:t>
      </w:r>
      <w:r>
        <w:rPr>
          <w:rFonts w:hint="eastAsia" w:ascii="黑体" w:hAnsi="宋体" w:eastAsia="黑体" w:cs="Tahoma"/>
          <w:b/>
          <w:bCs/>
          <w:color w:val="000000"/>
          <w:kern w:val="0"/>
          <w:sz w:val="24"/>
        </w:rPr>
        <w:t>支付时间和方式</w:t>
      </w:r>
    </w:p>
    <w:p>
      <w:pPr>
        <w:autoSpaceDE w:val="0"/>
        <w:autoSpaceDN w:val="0"/>
        <w:adjustRightInd w:val="0"/>
        <w:spacing w:line="360" w:lineRule="auto"/>
        <w:ind w:firstLine="480" w:firstLineChars="200"/>
        <w:rPr>
          <w:rFonts w:ascii="宋体" w:hAnsi="宋体"/>
          <w:sz w:val="24"/>
        </w:rPr>
      </w:pPr>
      <w:r>
        <w:rPr>
          <w:rFonts w:hint="eastAsia" w:ascii="宋体" w:hAnsi="宋体"/>
          <w:sz w:val="24"/>
        </w:rPr>
        <w:t>甲方于收到评估报告</w:t>
      </w:r>
      <w:r>
        <w:rPr>
          <w:rFonts w:hint="eastAsia" w:ascii="宋体" w:hAnsi="宋体"/>
          <w:sz w:val="24"/>
          <w:lang w:val="en-US" w:eastAsia="zh-CN"/>
        </w:rPr>
        <w:t>及合法有效足额增值税专用发票</w:t>
      </w:r>
      <w:r>
        <w:rPr>
          <w:rFonts w:hint="eastAsia" w:ascii="宋体" w:hAnsi="宋体"/>
          <w:sz w:val="24"/>
        </w:rPr>
        <w:t>后10日内，一次性支付相关事项服务费。</w:t>
      </w:r>
    </w:p>
    <w:p>
      <w:pPr>
        <w:spacing w:line="540" w:lineRule="exact"/>
        <w:ind w:firstLine="480" w:firstLineChars="200"/>
        <w:jc w:val="left"/>
        <w:rPr>
          <w:rFonts w:ascii="宋体" w:hAnsi="宋体"/>
          <w:bCs/>
          <w:iCs/>
          <w:sz w:val="24"/>
        </w:rPr>
      </w:pPr>
      <w:r>
        <w:rPr>
          <w:rFonts w:hint="eastAsia" w:ascii="宋体" w:hAnsi="宋体"/>
          <w:bCs/>
          <w:iCs/>
          <w:sz w:val="24"/>
        </w:rPr>
        <w:t>收款方：*******************</w:t>
      </w:r>
    </w:p>
    <w:p>
      <w:pPr>
        <w:spacing w:line="540" w:lineRule="exact"/>
        <w:ind w:firstLine="480" w:firstLineChars="200"/>
        <w:jc w:val="left"/>
        <w:rPr>
          <w:rFonts w:ascii="宋体" w:hAnsi="宋体"/>
          <w:bCs/>
          <w:iCs/>
          <w:sz w:val="24"/>
        </w:rPr>
      </w:pPr>
      <w:r>
        <w:rPr>
          <w:rFonts w:hint="eastAsia" w:ascii="宋体" w:hAnsi="宋体"/>
          <w:bCs/>
          <w:iCs/>
          <w:sz w:val="24"/>
        </w:rPr>
        <w:t>开户行：*******************</w:t>
      </w:r>
    </w:p>
    <w:p>
      <w:pPr>
        <w:spacing w:line="540" w:lineRule="exact"/>
        <w:ind w:firstLine="480" w:firstLineChars="200"/>
        <w:jc w:val="left"/>
        <w:rPr>
          <w:rFonts w:ascii="宋体" w:hAnsi="宋体"/>
          <w:bCs/>
          <w:iCs/>
          <w:sz w:val="24"/>
        </w:rPr>
      </w:pPr>
      <w:r>
        <w:rPr>
          <w:rFonts w:hint="eastAsia" w:ascii="宋体" w:hAnsi="宋体"/>
          <w:bCs/>
          <w:iCs/>
          <w:sz w:val="24"/>
        </w:rPr>
        <w:t>账  号：*******************</w:t>
      </w:r>
    </w:p>
    <w:p>
      <w:pPr>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八、评估机构和委托人权利和义务</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（一）资产评估机构的权利和义务</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1</w:t>
      </w:r>
      <w:r>
        <w:rPr>
          <w:rFonts w:hint="eastAsia" w:ascii="宋体" w:hAnsi="宋体" w:cs="Tahoma"/>
          <w:color w:val="000000"/>
          <w:kern w:val="0"/>
          <w:sz w:val="24"/>
        </w:rPr>
        <w:t>、遵守相关法律、法规和资产评估准则，对评估对象在评估基准日特定目的下的价值进行分析、估算并发表专业意见</w:t>
      </w:r>
      <w:r>
        <w:rPr>
          <w:rFonts w:ascii="宋体" w:cs="Tahoma"/>
          <w:color w:val="000000"/>
          <w:kern w:val="0"/>
          <w:sz w:val="24"/>
        </w:rPr>
        <w:t>,</w:t>
      </w:r>
      <w:r>
        <w:rPr>
          <w:rFonts w:hint="eastAsia" w:ascii="宋体" w:hAnsi="宋体" w:cs="Tahoma"/>
          <w:color w:val="000000"/>
          <w:kern w:val="0"/>
          <w:sz w:val="24"/>
        </w:rPr>
        <w:t>对评估结论的合理性承担责任</w:t>
      </w:r>
      <w:r>
        <w:rPr>
          <w:rFonts w:hint="eastAsia" w:ascii="宋体" w:cs="Tahoma"/>
          <w:color w:val="000000"/>
          <w:kern w:val="0"/>
          <w:sz w:val="24"/>
        </w:rPr>
        <w:t>。</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2</w:t>
      </w:r>
      <w:r>
        <w:rPr>
          <w:rFonts w:hint="eastAsia" w:ascii="宋体" w:hAnsi="宋体" w:cs="Tahoma"/>
          <w:color w:val="000000"/>
          <w:kern w:val="0"/>
          <w:sz w:val="24"/>
        </w:rPr>
        <w:t>、对在评估过程中知悉的关于委托人</w:t>
      </w:r>
      <w:r>
        <w:rPr>
          <w:rFonts w:ascii="宋体" w:hAnsi="宋体" w:cs="Tahoma"/>
          <w:color w:val="000000"/>
          <w:kern w:val="0"/>
          <w:sz w:val="24"/>
        </w:rPr>
        <w:t>(</w:t>
      </w:r>
      <w:r>
        <w:rPr>
          <w:rFonts w:hint="eastAsia" w:ascii="宋体" w:hAnsi="宋体" w:cs="Tahoma"/>
          <w:color w:val="000000"/>
          <w:kern w:val="0"/>
          <w:sz w:val="24"/>
        </w:rPr>
        <w:t>被评估单位</w:t>
      </w:r>
      <w:r>
        <w:rPr>
          <w:rFonts w:ascii="宋体" w:hAnsi="宋体" w:cs="Tahoma"/>
          <w:color w:val="000000"/>
          <w:kern w:val="0"/>
          <w:sz w:val="24"/>
        </w:rPr>
        <w:t>)</w:t>
      </w:r>
      <w:r>
        <w:rPr>
          <w:rFonts w:hint="eastAsia" w:ascii="宋体" w:hAnsi="宋体" w:cs="Tahoma"/>
          <w:color w:val="000000"/>
          <w:kern w:val="0"/>
          <w:sz w:val="24"/>
        </w:rPr>
        <w:t>的商业和技术秘密保密。</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3</w:t>
      </w:r>
      <w:r>
        <w:rPr>
          <w:rFonts w:hint="eastAsia" w:ascii="宋体" w:hAnsi="宋体" w:cs="Tahoma"/>
          <w:color w:val="000000"/>
          <w:kern w:val="0"/>
          <w:sz w:val="24"/>
        </w:rPr>
        <w:t>、遵守职业道德，未经委托人书面许可，评估机构及评估机构工作人员不得将评估报告的内容向第三方提供或者公开。法律、法规另有规定的除外。</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4</w:t>
      </w:r>
      <w:r>
        <w:rPr>
          <w:rFonts w:hint="eastAsia" w:ascii="宋体" w:hAnsi="宋体" w:cs="Tahoma"/>
          <w:color w:val="000000"/>
          <w:kern w:val="0"/>
          <w:sz w:val="24"/>
        </w:rPr>
        <w:t>、资产评估专业人员和评估机构对委托人和其他评估报告使用者不当使用评估报告所造成的后果不承担责任。</w:t>
      </w:r>
    </w:p>
    <w:p>
      <w:pPr>
        <w:widowControl/>
        <w:spacing w:line="540" w:lineRule="exact"/>
        <w:ind w:firstLine="480" w:firstLineChars="200"/>
        <w:rPr>
          <w:rFonts w:ascii="宋体" w:cs="Tahoma"/>
          <w:color w:val="000000"/>
          <w:spacing w:val="-2"/>
          <w:kern w:val="0"/>
          <w:sz w:val="24"/>
        </w:rPr>
      </w:pPr>
      <w:r>
        <w:rPr>
          <w:rFonts w:ascii="宋体" w:hAnsi="宋体" w:cs="Tahoma"/>
          <w:color w:val="000000"/>
          <w:kern w:val="0"/>
          <w:sz w:val="24"/>
        </w:rPr>
        <w:t>5</w:t>
      </w:r>
      <w:r>
        <w:rPr>
          <w:rFonts w:hint="eastAsia" w:ascii="宋体" w:hAnsi="宋体" w:cs="Tahoma"/>
          <w:color w:val="000000"/>
          <w:kern w:val="0"/>
          <w:sz w:val="24"/>
        </w:rPr>
        <w:t>、委托人要求出具虚假资产评估报告或者有其他非法干预评估结论情形的，资产评估机构有权单方解除资产评估委托；因委托人或者其他相关当事人原因导致资产评估程序受限，资产评估机构无法履行资产评估委托合同，资产评估机构可以单方解除评估委托合同。</w:t>
      </w:r>
      <w:r>
        <w:rPr>
          <w:rFonts w:hint="eastAsia" w:ascii="宋体" w:hAnsi="宋体" w:cs="Tahoma"/>
          <w:color w:val="000000"/>
          <w:spacing w:val="-2"/>
          <w:kern w:val="0"/>
          <w:sz w:val="24"/>
        </w:rPr>
        <w:t>委托人应当按照已开展资产评估业务的时间、进度，或者已经完成的工作量支付相应的评估服务费。</w:t>
      </w:r>
    </w:p>
    <w:p>
      <w:pPr>
        <w:widowControl/>
        <w:spacing w:line="540" w:lineRule="exact"/>
        <w:ind w:firstLine="480" w:firstLineChars="200"/>
        <w:jc w:val="left"/>
        <w:rPr>
          <w:rFonts w:ascii="宋体" w:cs="Tahoma"/>
          <w:color w:val="000000"/>
          <w:spacing w:val="-4"/>
          <w:kern w:val="0"/>
          <w:sz w:val="24"/>
        </w:rPr>
      </w:pPr>
      <w:r>
        <w:rPr>
          <w:rFonts w:ascii="宋体" w:hAnsi="宋体" w:cs="Tahoma"/>
          <w:color w:val="000000"/>
          <w:kern w:val="0"/>
          <w:sz w:val="24"/>
        </w:rPr>
        <w:t>6</w:t>
      </w:r>
      <w:r>
        <w:rPr>
          <w:rFonts w:hint="eastAsia" w:ascii="宋体" w:hAnsi="宋体" w:cs="Tahoma"/>
          <w:color w:val="000000"/>
          <w:kern w:val="0"/>
          <w:sz w:val="24"/>
        </w:rPr>
        <w:t>、评</w:t>
      </w:r>
      <w:r>
        <w:rPr>
          <w:rFonts w:hint="eastAsia" w:ascii="宋体" w:hAnsi="宋体" w:cs="Tahoma"/>
          <w:color w:val="000000"/>
          <w:spacing w:val="-4"/>
          <w:kern w:val="0"/>
          <w:sz w:val="24"/>
        </w:rPr>
        <w:t>估机构应按约定时间向委托人出具《资产评估报告书》，并对报告的质量负责。</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7</w:t>
      </w:r>
      <w:r>
        <w:rPr>
          <w:rFonts w:hint="eastAsia" w:ascii="宋体" w:hAnsi="宋体" w:cs="Tahoma"/>
          <w:color w:val="000000"/>
          <w:kern w:val="0"/>
          <w:sz w:val="24"/>
        </w:rPr>
        <w:t>、评估机构按约定时间提交《资产评估报告书》。若因委托人不能按规定时间提供评估所需的全部材料，评估机构有权延长交付报告书的时间；</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8</w:t>
      </w:r>
      <w:r>
        <w:rPr>
          <w:rFonts w:hint="eastAsia" w:ascii="宋体" w:hAnsi="宋体" w:cs="Tahoma"/>
          <w:color w:val="000000"/>
          <w:kern w:val="0"/>
          <w:sz w:val="24"/>
        </w:rPr>
        <w:t>、在评估过程中，若因委托人或被评估单位原因提出重大更改，造成评估机构返工，双方应另行协商加收评估费用和延长出具《资产评估报告书》的时间。</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（二）委托人的权利和义务</w:t>
      </w:r>
    </w:p>
    <w:p>
      <w:pPr>
        <w:widowControl/>
        <w:spacing w:line="540" w:lineRule="exact"/>
        <w:ind w:firstLine="480" w:firstLineChars="200"/>
        <w:rPr>
          <w:rFonts w:ascii="宋体" w:cs="Tahoma"/>
          <w:color w:val="000000"/>
          <w:kern w:val="0"/>
          <w:sz w:val="24"/>
        </w:rPr>
      </w:pPr>
      <w:r>
        <w:rPr>
          <w:rFonts w:ascii="宋体" w:hAnsi="宋体" w:cs="Tahoma"/>
          <w:color w:val="000000"/>
          <w:kern w:val="0"/>
          <w:sz w:val="24"/>
        </w:rPr>
        <w:t>1</w:t>
      </w:r>
      <w:r>
        <w:rPr>
          <w:rFonts w:hint="eastAsia" w:ascii="宋体" w:hAnsi="宋体" w:cs="Tahoma"/>
          <w:color w:val="000000"/>
          <w:kern w:val="0"/>
          <w:sz w:val="24"/>
        </w:rPr>
        <w:t>、委托人应当为资产评估机构及其资产评估专业人员执行评估业务提供必要的工作条件和协助；委托人应当根据评估业务需要，负责资产评估机构及其资产评估专业人员与其他相关当事人之间的协调。</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2</w:t>
      </w:r>
      <w:r>
        <w:rPr>
          <w:rFonts w:hint="eastAsia" w:ascii="宋体" w:hAnsi="宋体" w:cs="Tahoma"/>
          <w:color w:val="000000"/>
          <w:kern w:val="0"/>
          <w:sz w:val="24"/>
        </w:rPr>
        <w:t>、在评估人员的指导和参与下，委托人应对委托评估资产进行全面清查并按评估要求填写《资产评估申报明细表》和《关于进行资产评估有关事项的说明》等有关资料。</w:t>
      </w:r>
    </w:p>
    <w:p>
      <w:pPr>
        <w:widowControl/>
        <w:spacing w:line="540" w:lineRule="exact"/>
        <w:ind w:firstLine="480" w:firstLineChars="200"/>
        <w:rPr>
          <w:rFonts w:ascii="宋体" w:cs="Tahoma"/>
          <w:color w:val="000000"/>
          <w:kern w:val="0"/>
          <w:sz w:val="24"/>
        </w:rPr>
      </w:pPr>
      <w:r>
        <w:rPr>
          <w:rFonts w:ascii="宋体" w:hAnsi="宋体" w:cs="Tahoma"/>
          <w:color w:val="000000"/>
          <w:kern w:val="0"/>
          <w:sz w:val="24"/>
        </w:rPr>
        <w:t>3</w:t>
      </w:r>
      <w:r>
        <w:rPr>
          <w:rFonts w:hint="eastAsia" w:ascii="宋体" w:hAnsi="宋体" w:cs="Tahoma"/>
          <w:color w:val="000000"/>
          <w:kern w:val="0"/>
          <w:sz w:val="24"/>
        </w:rPr>
        <w:t>、委托人或者其他相关当事人应根据评估机构要求提供评估所需的有关资料，包括评估机构所需的财务会计财务信息、评估对象法律权属和与评估目的相关的经济情形的批准文件资料等，并保证提供资料的真实性、完整性和合法性。</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4</w:t>
      </w:r>
      <w:r>
        <w:rPr>
          <w:rFonts w:hint="eastAsia" w:ascii="宋体" w:hAnsi="宋体" w:cs="Tahoma"/>
          <w:color w:val="000000"/>
          <w:kern w:val="0"/>
          <w:sz w:val="24"/>
        </w:rPr>
        <w:t>、委托人应当对其提供的《评估申报明细表》和《关于进行资产评估有关事项的说明》及相关证明材料以签字、盖章或者其他方式进行确认。</w:t>
      </w:r>
    </w:p>
    <w:p>
      <w:pPr>
        <w:widowControl/>
        <w:spacing w:line="540" w:lineRule="exact"/>
        <w:ind w:firstLine="480" w:firstLineChars="200"/>
        <w:rPr>
          <w:rFonts w:ascii="宋体" w:cs="Tahoma"/>
          <w:color w:val="000000"/>
          <w:spacing w:val="-2"/>
          <w:kern w:val="0"/>
          <w:sz w:val="24"/>
        </w:rPr>
      </w:pPr>
      <w:r>
        <w:rPr>
          <w:rFonts w:ascii="宋体" w:hAnsi="宋体" w:cs="Tahoma"/>
          <w:color w:val="000000"/>
          <w:kern w:val="0"/>
          <w:sz w:val="24"/>
        </w:rPr>
        <w:t>5</w:t>
      </w:r>
      <w:r>
        <w:rPr>
          <w:rFonts w:hint="eastAsia" w:ascii="宋体" w:hAnsi="宋体" w:cs="Tahoma"/>
          <w:color w:val="000000"/>
          <w:kern w:val="0"/>
          <w:sz w:val="24"/>
        </w:rPr>
        <w:t>、委托人提前终止资产评估业务、解除资产评估委托合同的，</w:t>
      </w:r>
      <w:r>
        <w:rPr>
          <w:rFonts w:hint="eastAsia" w:ascii="宋体" w:hAnsi="宋体" w:cs="Tahoma"/>
          <w:color w:val="000000"/>
          <w:spacing w:val="-2"/>
          <w:kern w:val="0"/>
          <w:sz w:val="24"/>
        </w:rPr>
        <w:t>委托人应当按照已开展资产评估业务的时间、进度，或者已经完成的工作量支付相应的评估服务费。</w:t>
      </w:r>
    </w:p>
    <w:p>
      <w:pPr>
        <w:widowControl/>
        <w:spacing w:line="540" w:lineRule="exact"/>
        <w:ind w:firstLine="480" w:firstLineChars="200"/>
        <w:rPr>
          <w:rFonts w:ascii="宋体" w:cs="Tahoma"/>
          <w:color w:val="000000"/>
          <w:kern w:val="0"/>
          <w:sz w:val="24"/>
        </w:rPr>
      </w:pPr>
      <w:r>
        <w:rPr>
          <w:rFonts w:ascii="宋体" w:hAnsi="宋体" w:cs="Tahoma"/>
          <w:color w:val="000000"/>
          <w:kern w:val="0"/>
          <w:sz w:val="24"/>
        </w:rPr>
        <w:t>6</w:t>
      </w:r>
      <w:r>
        <w:rPr>
          <w:rFonts w:hint="eastAsia" w:ascii="宋体" w:hAnsi="宋体" w:cs="Tahoma"/>
          <w:color w:val="000000"/>
          <w:kern w:val="0"/>
          <w:sz w:val="24"/>
        </w:rPr>
        <w:t>、恰当使用评估报告是委托人和其他相关当事人的责任。未征得评估机构同意，评估报告内容不得被摘抄、引用或披露于公开媒体，法律、法规规定以及相关当事人另有约定的除外，评估报告的复印件不具有法律效力。</w:t>
      </w:r>
    </w:p>
    <w:p>
      <w:pPr>
        <w:widowControl/>
        <w:spacing w:line="540" w:lineRule="exact"/>
        <w:ind w:firstLine="480" w:firstLineChars="200"/>
        <w:rPr>
          <w:rFonts w:ascii="宋体" w:cs="Tahoma"/>
          <w:color w:val="000000"/>
          <w:kern w:val="0"/>
          <w:sz w:val="24"/>
        </w:rPr>
      </w:pPr>
      <w:r>
        <w:rPr>
          <w:rFonts w:ascii="宋体" w:hAnsi="宋体" w:cs="Tahoma"/>
          <w:color w:val="000000"/>
          <w:kern w:val="0"/>
          <w:sz w:val="24"/>
        </w:rPr>
        <w:t>7</w:t>
      </w:r>
      <w:r>
        <w:rPr>
          <w:rFonts w:hint="eastAsia" w:ascii="宋体" w:hAnsi="宋体" w:cs="Tahoma"/>
          <w:color w:val="000000"/>
          <w:kern w:val="0"/>
          <w:sz w:val="24"/>
        </w:rPr>
        <w:t>、按评估委托合同规定及时足额支付评估费用。</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九、委托合同的变更</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1</w:t>
      </w:r>
      <w:r>
        <w:rPr>
          <w:rFonts w:hint="eastAsia" w:ascii="宋体" w:hAnsi="宋体" w:cs="Tahoma"/>
          <w:color w:val="000000"/>
          <w:kern w:val="0"/>
          <w:sz w:val="24"/>
        </w:rPr>
        <w:t>、委托人和评估机构发现相关事项约定不明确，或者履行评估程序受到限制需要增加、调整约定事项的、可以协商对委托合同的相关条款进行变更，并签订补充协议或者重新签订委托合同。</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2</w:t>
      </w:r>
      <w:r>
        <w:rPr>
          <w:rFonts w:hint="eastAsia" w:ascii="宋体" w:hAnsi="宋体" w:cs="Tahoma"/>
          <w:color w:val="000000"/>
          <w:kern w:val="0"/>
          <w:sz w:val="24"/>
        </w:rPr>
        <w:t>、评估目的、评估对象、评估基准日发生变化或者评估范围发生重大变化，双方应当签订补充协议或者重新签订委托合同。</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十、违约责任和争议解除</w:t>
      </w:r>
    </w:p>
    <w:p>
      <w:pPr>
        <w:widowControl/>
        <w:spacing w:line="540" w:lineRule="exact"/>
        <w:ind w:firstLine="480" w:firstLineChars="200"/>
        <w:jc w:val="left"/>
        <w:rPr>
          <w:rFonts w:ascii="宋体" w:cs="Tahoma"/>
          <w:color w:val="000000"/>
          <w:kern w:val="0"/>
          <w:sz w:val="24"/>
        </w:rPr>
      </w:pPr>
      <w:r>
        <w:rPr>
          <w:rFonts w:hint="eastAsia" w:ascii="宋体" w:hAnsi="宋体" w:cs="Tahoma"/>
          <w:color w:val="000000"/>
          <w:kern w:val="0"/>
          <w:sz w:val="24"/>
        </w:rPr>
        <w:t>（一）违约责任</w:t>
      </w:r>
    </w:p>
    <w:p>
      <w:pPr>
        <w:widowControl/>
        <w:spacing w:line="540" w:lineRule="exact"/>
        <w:ind w:firstLine="480" w:firstLineChars="200"/>
        <w:jc w:val="left"/>
        <w:rPr>
          <w:rFonts w:ascii="宋体" w:cs="Tahoma"/>
          <w:color w:val="000000"/>
          <w:spacing w:val="-2"/>
          <w:kern w:val="0"/>
          <w:sz w:val="24"/>
        </w:rPr>
      </w:pPr>
      <w:r>
        <w:rPr>
          <w:rFonts w:ascii="宋体" w:hAnsi="宋体" w:cs="Tahoma"/>
          <w:color w:val="000000"/>
          <w:kern w:val="0"/>
          <w:sz w:val="24"/>
        </w:rPr>
        <w:t>1</w:t>
      </w:r>
      <w:r>
        <w:rPr>
          <w:rFonts w:hint="eastAsia" w:ascii="宋体" w:hAnsi="宋体" w:cs="Tahoma"/>
          <w:color w:val="000000"/>
          <w:kern w:val="0"/>
          <w:sz w:val="24"/>
        </w:rPr>
        <w:t>、如评</w:t>
      </w:r>
      <w:r>
        <w:rPr>
          <w:rFonts w:hint="eastAsia" w:ascii="宋体" w:hAnsi="宋体" w:cs="Tahoma"/>
          <w:color w:val="000000"/>
          <w:spacing w:val="-2"/>
          <w:kern w:val="0"/>
          <w:sz w:val="24"/>
        </w:rPr>
        <w:t>估机构无故终止履行委托合同，预收评估服务费应退还委托人，如委托人无故终止本约定，评估机构有权终止评估工作且不退还预收的评估业务服务费。</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2</w:t>
      </w:r>
      <w:r>
        <w:rPr>
          <w:rFonts w:hint="eastAsia" w:ascii="宋体" w:hAnsi="宋体" w:cs="Tahoma"/>
          <w:color w:val="000000"/>
          <w:kern w:val="0"/>
          <w:sz w:val="24"/>
        </w:rPr>
        <w:t>、双方如一方违反委托合同，应向对方支付违约金，违约金按评估服务费</w:t>
      </w:r>
      <w:r>
        <w:rPr>
          <w:rFonts w:hint="eastAsia" w:ascii="宋体" w:hAnsi="宋体" w:cs="Tahoma"/>
          <w:color w:val="000000"/>
          <w:kern w:val="0"/>
          <w:sz w:val="24"/>
          <w:u w:val="single"/>
        </w:rPr>
        <w:t>**</w:t>
      </w:r>
      <w:r>
        <w:rPr>
          <w:rFonts w:ascii="宋体" w:hAnsi="宋体" w:cs="Tahoma"/>
          <w:color w:val="000000"/>
          <w:kern w:val="0"/>
          <w:sz w:val="24"/>
        </w:rPr>
        <w:t>%</w:t>
      </w:r>
      <w:r>
        <w:rPr>
          <w:rFonts w:hint="eastAsia" w:ascii="宋体" w:hAnsi="宋体" w:cs="Tahoma"/>
          <w:color w:val="000000"/>
          <w:kern w:val="0"/>
          <w:sz w:val="24"/>
        </w:rPr>
        <w:t>支付。造成经济损失的，还应向对方赔偿损失。</w:t>
      </w:r>
    </w:p>
    <w:p>
      <w:pPr>
        <w:widowControl/>
        <w:spacing w:line="540" w:lineRule="exact"/>
        <w:ind w:firstLine="480" w:firstLineChars="200"/>
        <w:jc w:val="left"/>
        <w:rPr>
          <w:rFonts w:hint="eastAsia" w:ascii="宋体" w:hAnsi="宋体" w:cs="Tahoma"/>
          <w:color w:val="000000"/>
          <w:kern w:val="0"/>
          <w:sz w:val="24"/>
        </w:rPr>
      </w:pPr>
      <w:r>
        <w:rPr>
          <w:rFonts w:ascii="宋体" w:hAnsi="宋体" w:cs="Tahoma"/>
          <w:color w:val="000000"/>
          <w:kern w:val="0"/>
          <w:sz w:val="24"/>
        </w:rPr>
        <w:t>3</w:t>
      </w:r>
      <w:r>
        <w:rPr>
          <w:rFonts w:hint="eastAsia" w:ascii="宋体" w:hAnsi="宋体" w:cs="Tahoma"/>
          <w:color w:val="000000"/>
          <w:kern w:val="0"/>
          <w:sz w:val="24"/>
        </w:rPr>
        <w:t>、双方因不可抗力无法履行委托合同的，根据不可抗力的影响，部分或者全部免除责任，法律有另外规定的除外。</w:t>
      </w:r>
    </w:p>
    <w:p>
      <w:pPr>
        <w:widowControl/>
        <w:spacing w:line="540" w:lineRule="exact"/>
        <w:ind w:firstLine="480" w:firstLineChars="200"/>
        <w:jc w:val="left"/>
        <w:rPr>
          <w:rFonts w:hint="default" w:ascii="宋体" w:hAnsi="宋体" w:eastAsia="宋体" w:cs="Tahoma"/>
          <w:color w:val="000000"/>
          <w:kern w:val="0"/>
          <w:sz w:val="24"/>
          <w:lang w:val="en-US" w:eastAsia="zh-CN"/>
        </w:rPr>
      </w:pPr>
      <w:r>
        <w:rPr>
          <w:rFonts w:hint="eastAsia" w:ascii="宋体" w:hAnsi="宋体" w:cs="Tahoma"/>
          <w:color w:val="000000"/>
          <w:kern w:val="0"/>
          <w:sz w:val="24"/>
          <w:lang w:val="en-US" w:eastAsia="zh-CN"/>
        </w:rPr>
        <w:t>4、评估机构违约除承担违约金外，还应承担委托人因主张权利产生的诉讼费、保全费、保全保险费、差旅费、公证费等全部费用。</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（二）争议解决</w:t>
      </w:r>
    </w:p>
    <w:p>
      <w:pPr>
        <w:widowControl/>
        <w:spacing w:line="540" w:lineRule="exact"/>
        <w:ind w:firstLine="480" w:firstLineChars="200"/>
        <w:jc w:val="left"/>
        <w:rPr>
          <w:rFonts w:ascii="宋体" w:cs="Tahoma"/>
          <w:color w:val="000000"/>
          <w:kern w:val="0"/>
          <w:sz w:val="24"/>
        </w:rPr>
      </w:pPr>
      <w:r>
        <w:rPr>
          <w:rFonts w:hint="eastAsia" w:ascii="宋体" w:hAnsi="宋体" w:cs="Tahoma"/>
          <w:color w:val="000000"/>
          <w:kern w:val="0"/>
          <w:sz w:val="24"/>
        </w:rPr>
        <w:t>本约定书的所有方面均应适用中华人民共和国法律进行解释并受其约束，因本约定书所引起的或与本约定书有关的任何纠纷或引起争议</w:t>
      </w:r>
      <w:r>
        <w:rPr>
          <w:rFonts w:ascii="宋体" w:hAnsi="宋体" w:cs="Tahoma"/>
          <w:color w:val="000000"/>
          <w:kern w:val="0"/>
          <w:sz w:val="24"/>
        </w:rPr>
        <w:t>(</w:t>
      </w:r>
      <w:r>
        <w:rPr>
          <w:rFonts w:hint="eastAsia" w:ascii="宋体" w:hAnsi="宋体" w:cs="Tahoma"/>
          <w:color w:val="000000"/>
          <w:kern w:val="0"/>
          <w:sz w:val="24"/>
        </w:rPr>
        <w:t>包括关于本约定书条款的存在、效力或终止，或无效之后果</w:t>
      </w:r>
      <w:r>
        <w:rPr>
          <w:rFonts w:ascii="宋体" w:hAnsi="宋体" w:cs="Tahoma"/>
          <w:color w:val="000000"/>
          <w:kern w:val="0"/>
          <w:sz w:val="24"/>
        </w:rPr>
        <w:t>)</w:t>
      </w:r>
      <w:r>
        <w:rPr>
          <w:rFonts w:hint="eastAsia" w:ascii="宋体" w:hAnsi="宋体" w:cs="Tahoma"/>
          <w:color w:val="000000"/>
          <w:kern w:val="0"/>
          <w:sz w:val="24"/>
        </w:rPr>
        <w:t>应及时协商解决，如未能达成一致，可提交有关主管部门调解；协商或调解不成的，按下列第</w:t>
      </w:r>
      <w:r>
        <w:rPr>
          <w:rFonts w:ascii="宋体" w:hAnsi="宋体" w:cs="Tahoma"/>
          <w:color w:val="000000"/>
          <w:kern w:val="0"/>
          <w:sz w:val="24"/>
        </w:rPr>
        <w:t xml:space="preserve"> </w:t>
      </w:r>
      <w:r>
        <w:rPr>
          <w:rFonts w:ascii="宋体" w:hAnsi="宋体" w:cs="Tahoma"/>
          <w:color w:val="000000"/>
          <w:kern w:val="0"/>
          <w:sz w:val="24"/>
          <w:u w:val="single"/>
        </w:rPr>
        <w:t xml:space="preserve"> 1 </w:t>
      </w:r>
      <w:r>
        <w:rPr>
          <w:rFonts w:hint="eastAsia" w:ascii="宋体" w:hAnsi="宋体" w:cs="Tahoma"/>
          <w:color w:val="000000"/>
          <w:kern w:val="0"/>
          <w:sz w:val="24"/>
        </w:rPr>
        <w:t>种方式解决；</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1</w:t>
      </w:r>
      <w:r>
        <w:rPr>
          <w:rFonts w:hint="eastAsia" w:ascii="宋体" w:hAnsi="宋体" w:cs="Tahoma"/>
          <w:color w:val="000000"/>
          <w:kern w:val="0"/>
          <w:sz w:val="24"/>
        </w:rPr>
        <w:t>、向</w:t>
      </w:r>
      <w:r>
        <w:rPr>
          <w:rFonts w:hint="eastAsia" w:ascii="宋体" w:hAnsi="宋体" w:cs="Tahoma"/>
          <w:color w:val="000000"/>
          <w:kern w:val="0"/>
          <w:sz w:val="24"/>
          <w:lang w:eastAsia="zh-CN"/>
        </w:rPr>
        <w:t>甲方所在地</w:t>
      </w:r>
      <w:r>
        <w:rPr>
          <w:rFonts w:hint="eastAsia" w:ascii="宋体" w:hAnsi="宋体" w:cs="Tahoma"/>
          <w:color w:val="000000"/>
          <w:kern w:val="0"/>
          <w:sz w:val="24"/>
        </w:rPr>
        <w:t>的人民法院提起诉讼；</w:t>
      </w:r>
    </w:p>
    <w:p>
      <w:pPr>
        <w:widowControl/>
        <w:spacing w:line="540" w:lineRule="exact"/>
        <w:ind w:firstLine="480" w:firstLineChars="200"/>
        <w:jc w:val="left"/>
        <w:rPr>
          <w:rFonts w:ascii="宋体" w:cs="Tahoma"/>
          <w:color w:val="000000"/>
          <w:kern w:val="0"/>
          <w:sz w:val="24"/>
        </w:rPr>
      </w:pPr>
      <w:r>
        <w:rPr>
          <w:rFonts w:ascii="宋体" w:hAnsi="宋体" w:cs="Tahoma"/>
          <w:color w:val="000000"/>
          <w:kern w:val="0"/>
          <w:sz w:val="24"/>
        </w:rPr>
        <w:t>2</w:t>
      </w:r>
      <w:r>
        <w:rPr>
          <w:rFonts w:hint="eastAsia" w:ascii="宋体" w:hAnsi="宋体" w:cs="Tahoma"/>
          <w:color w:val="000000"/>
          <w:kern w:val="0"/>
          <w:sz w:val="24"/>
        </w:rPr>
        <w:t>、提交德阳市仲裁委员会仲裁。</w:t>
      </w:r>
    </w:p>
    <w:p>
      <w:pPr>
        <w:widowControl/>
        <w:spacing w:line="540" w:lineRule="exact"/>
        <w:ind w:firstLine="480" w:firstLineChars="200"/>
        <w:jc w:val="left"/>
        <w:rPr>
          <w:rFonts w:ascii="黑体" w:hAnsi="宋体" w:eastAsia="黑体" w:cs="Tahoma"/>
          <w:b/>
          <w:bCs/>
          <w:color w:val="000000"/>
          <w:kern w:val="0"/>
          <w:sz w:val="24"/>
        </w:rPr>
      </w:pPr>
      <w:r>
        <w:rPr>
          <w:rFonts w:hint="eastAsia" w:ascii="黑体" w:hAnsi="宋体" w:eastAsia="黑体" w:cs="Tahoma"/>
          <w:b/>
          <w:bCs/>
          <w:color w:val="000000"/>
          <w:kern w:val="0"/>
          <w:sz w:val="24"/>
        </w:rPr>
        <w:t>十一、其他有关事项的约定</w:t>
      </w:r>
      <w:r>
        <w:rPr>
          <w:rFonts w:ascii="黑体" w:hAnsi="宋体" w:eastAsia="黑体" w:cs="Tahoma"/>
          <w:b/>
          <w:bCs/>
          <w:color w:val="000000"/>
          <w:kern w:val="0"/>
          <w:sz w:val="24"/>
        </w:rPr>
        <w:t xml:space="preserve">   </w:t>
      </w:r>
    </w:p>
    <w:p>
      <w:pPr>
        <w:widowControl/>
        <w:spacing w:line="540" w:lineRule="exact"/>
        <w:ind w:firstLine="480" w:firstLineChars="200"/>
        <w:jc w:val="left"/>
        <w:rPr>
          <w:rFonts w:hint="eastAsia" w:ascii="宋体" w:hAnsi="宋体" w:cs="Tahoma"/>
          <w:color w:val="000000"/>
          <w:kern w:val="0"/>
          <w:sz w:val="24"/>
        </w:rPr>
      </w:pPr>
      <w:r>
        <w:rPr>
          <w:rFonts w:ascii="宋体" w:hAnsi="宋体" w:cs="Tahoma"/>
          <w:color w:val="000000"/>
          <w:kern w:val="0"/>
          <w:sz w:val="24"/>
        </w:rPr>
        <w:t>1</w:t>
      </w:r>
      <w:r>
        <w:rPr>
          <w:rFonts w:hint="eastAsia" w:ascii="宋体" w:hAnsi="宋体" w:cs="Tahoma"/>
          <w:color w:val="000000"/>
          <w:kern w:val="0"/>
          <w:sz w:val="24"/>
        </w:rPr>
        <w:t>、本约定书一式</w:t>
      </w:r>
      <w:r>
        <w:rPr>
          <w:rFonts w:hint="eastAsia" w:ascii="宋体" w:hAnsi="宋体" w:cs="Tahoma"/>
          <w:color w:val="000000"/>
          <w:kern w:val="0"/>
          <w:sz w:val="24"/>
          <w:u w:val="single"/>
          <w:lang w:val="en-US" w:eastAsia="zh-CN"/>
        </w:rPr>
        <w:t>肆</w:t>
      </w:r>
      <w:r>
        <w:rPr>
          <w:rFonts w:hint="eastAsia" w:ascii="宋体" w:hAnsi="宋体" w:cs="Tahoma"/>
          <w:color w:val="000000"/>
          <w:kern w:val="0"/>
          <w:sz w:val="24"/>
        </w:rPr>
        <w:t>份，委托人、资产评估机构各执</w:t>
      </w:r>
      <w:r>
        <w:rPr>
          <w:rFonts w:hint="eastAsia" w:ascii="宋体" w:hAnsi="宋体" w:cs="Tahoma"/>
          <w:color w:val="000000"/>
          <w:kern w:val="0"/>
          <w:sz w:val="24"/>
          <w:u w:val="single"/>
          <w:lang w:eastAsia="zh-CN"/>
        </w:rPr>
        <w:t>贰</w:t>
      </w:r>
      <w:r>
        <w:rPr>
          <w:rFonts w:hint="eastAsia" w:ascii="宋体" w:hAnsi="宋体" w:cs="Tahoma"/>
          <w:color w:val="000000"/>
          <w:kern w:val="0"/>
          <w:sz w:val="24"/>
        </w:rPr>
        <w:t>份，自签订之日起生效。委托合同未尽事宜，由双方协商解决。</w:t>
      </w:r>
    </w:p>
    <w:p>
      <w:pPr>
        <w:widowControl/>
        <w:spacing w:line="540" w:lineRule="exact"/>
        <w:jc w:val="left"/>
        <w:rPr>
          <w:rFonts w:hint="eastAsia" w:ascii="宋体" w:hAnsi="宋体" w:cs="Tahoma"/>
          <w:color w:val="000000"/>
          <w:kern w:val="0"/>
          <w:sz w:val="24"/>
        </w:rPr>
      </w:pPr>
    </w:p>
    <w:p>
      <w:pPr>
        <w:widowControl/>
        <w:spacing w:line="540" w:lineRule="exact"/>
        <w:jc w:val="left"/>
        <w:rPr>
          <w:rFonts w:hint="eastAsia" w:ascii="宋体" w:hAnsi="宋体" w:cs="Tahoma"/>
          <w:color w:val="000000"/>
          <w:kern w:val="0"/>
          <w:sz w:val="24"/>
        </w:rPr>
      </w:pPr>
    </w:p>
    <w:p>
      <w:pPr>
        <w:widowControl/>
        <w:spacing w:line="540" w:lineRule="exact"/>
        <w:jc w:val="left"/>
        <w:rPr>
          <w:rFonts w:hint="eastAsia" w:ascii="宋体" w:hAnsi="宋体" w:cs="Tahoma"/>
          <w:color w:val="000000"/>
          <w:kern w:val="0"/>
          <w:sz w:val="24"/>
        </w:rPr>
      </w:pPr>
    </w:p>
    <w:p>
      <w:pPr>
        <w:widowControl/>
        <w:spacing w:line="540" w:lineRule="exact"/>
        <w:jc w:val="left"/>
        <w:rPr>
          <w:rFonts w:hint="eastAsia" w:ascii="宋体" w:hAnsi="宋体" w:cs="Tahoma"/>
          <w:color w:val="000000"/>
          <w:kern w:val="0"/>
          <w:sz w:val="24"/>
        </w:rPr>
      </w:pPr>
    </w:p>
    <w:p>
      <w:pPr>
        <w:keepNext w:val="0"/>
        <w:keepLines w:val="0"/>
        <w:pageBreakBefore w:val="0"/>
        <w:widowControl/>
        <w:kinsoku/>
        <w:wordWrap/>
        <w:overflowPunct/>
        <w:topLinePunct w:val="0"/>
        <w:autoSpaceDE/>
        <w:autoSpaceDN/>
        <w:bidi w:val="0"/>
        <w:adjustRightInd/>
        <w:snapToGrid/>
        <w:spacing w:line="360" w:lineRule="exact"/>
        <w:ind w:firstLine="1920" w:firstLineChars="800"/>
        <w:textAlignment w:val="auto"/>
        <w:rPr>
          <w:rFonts w:ascii="宋体" w:cs="Tahoma"/>
          <w:bCs/>
          <w:color w:val="000000"/>
          <w:kern w:val="0"/>
          <w:sz w:val="24"/>
        </w:rPr>
      </w:pPr>
      <w:r>
        <w:rPr>
          <w:rFonts w:hint="eastAsia" w:ascii="宋体" w:hAnsi="宋体" w:cs="Tahoma"/>
          <w:bCs/>
          <w:color w:val="000000"/>
          <w:kern w:val="0"/>
          <w:sz w:val="24"/>
        </w:rPr>
        <w:t>委托人</w:t>
      </w:r>
      <w:r>
        <w:rPr>
          <w:rFonts w:ascii="宋体" w:hAnsi="宋体" w:cs="Tahoma"/>
          <w:bCs/>
          <w:color w:val="000000"/>
          <w:kern w:val="0"/>
          <w:sz w:val="24"/>
        </w:rPr>
        <w:t xml:space="preserve"> (</w:t>
      </w:r>
      <w:r>
        <w:rPr>
          <w:rFonts w:hint="eastAsia" w:ascii="宋体" w:hAnsi="宋体" w:cs="Tahoma"/>
          <w:bCs/>
          <w:color w:val="000000"/>
          <w:kern w:val="0"/>
          <w:sz w:val="24"/>
        </w:rPr>
        <w:t>盖章</w:t>
      </w:r>
      <w:r>
        <w:rPr>
          <w:rFonts w:ascii="宋体" w:hAnsi="宋体" w:cs="Tahoma"/>
          <w:bCs/>
          <w:color w:val="000000"/>
          <w:kern w:val="0"/>
          <w:sz w:val="24"/>
        </w:rPr>
        <w:t>)</w:t>
      </w:r>
      <w:r>
        <w:rPr>
          <w:rFonts w:hint="eastAsia" w:ascii="宋体" w:hAnsi="宋体" w:cs="Tahoma"/>
          <w:bCs/>
          <w:color w:val="000000"/>
          <w:kern w:val="0"/>
          <w:sz w:val="24"/>
        </w:rPr>
        <w:t>：</w:t>
      </w:r>
    </w:p>
    <w:p>
      <w:pPr>
        <w:keepNext w:val="0"/>
        <w:keepLines w:val="0"/>
        <w:pageBreakBefore w:val="0"/>
        <w:widowControl/>
        <w:kinsoku/>
        <w:wordWrap/>
        <w:overflowPunct/>
        <w:topLinePunct w:val="0"/>
        <w:autoSpaceDE/>
        <w:autoSpaceDN/>
        <w:bidi w:val="0"/>
        <w:adjustRightInd/>
        <w:snapToGrid/>
        <w:spacing w:line="360" w:lineRule="exact"/>
        <w:textAlignment w:val="auto"/>
        <w:rPr>
          <w:rFonts w:ascii="宋体" w:hAnsi="宋体" w:cs="Tahoma"/>
          <w:bCs/>
          <w:color w:val="000000"/>
          <w:kern w:val="0"/>
          <w:sz w:val="24"/>
        </w:rPr>
      </w:pPr>
    </w:p>
    <w:p>
      <w:pPr>
        <w:keepNext w:val="0"/>
        <w:keepLines w:val="0"/>
        <w:pageBreakBefore w:val="0"/>
        <w:widowControl/>
        <w:kinsoku/>
        <w:wordWrap/>
        <w:overflowPunct/>
        <w:topLinePunct w:val="0"/>
        <w:autoSpaceDE/>
        <w:autoSpaceDN/>
        <w:bidi w:val="0"/>
        <w:adjustRightInd/>
        <w:snapToGrid/>
        <w:spacing w:line="360" w:lineRule="exact"/>
        <w:ind w:firstLine="1920" w:firstLineChars="800"/>
        <w:textAlignment w:val="auto"/>
        <w:rPr>
          <w:rFonts w:ascii="宋体" w:hAnsi="宋体" w:cs="Tahoma"/>
          <w:bCs/>
          <w:color w:val="000000"/>
          <w:kern w:val="0"/>
          <w:sz w:val="24"/>
        </w:rPr>
      </w:pPr>
      <w:r>
        <w:rPr>
          <w:rFonts w:hint="eastAsia" w:ascii="宋体" w:hAnsi="宋体" w:cs="Tahoma"/>
          <w:bCs/>
          <w:color w:val="000000"/>
          <w:kern w:val="0"/>
          <w:sz w:val="24"/>
        </w:rPr>
        <w:t>代表人</w:t>
      </w:r>
      <w:r>
        <w:rPr>
          <w:rFonts w:ascii="宋体" w:hAnsi="宋体" w:cs="Tahoma"/>
          <w:bCs/>
          <w:color w:val="000000"/>
          <w:kern w:val="0"/>
          <w:sz w:val="24"/>
        </w:rPr>
        <w:t>(</w:t>
      </w:r>
      <w:r>
        <w:rPr>
          <w:rFonts w:hint="eastAsia" w:ascii="宋体" w:hAnsi="宋体" w:cs="Tahoma"/>
          <w:bCs/>
          <w:color w:val="000000"/>
          <w:kern w:val="0"/>
          <w:sz w:val="24"/>
        </w:rPr>
        <w:t>签字</w:t>
      </w:r>
      <w:r>
        <w:rPr>
          <w:rFonts w:ascii="宋体" w:hAnsi="宋体" w:cs="Tahoma"/>
          <w:bCs/>
          <w:color w:val="000000"/>
          <w:kern w:val="0"/>
          <w:sz w:val="24"/>
        </w:rPr>
        <w:t>)</w:t>
      </w:r>
      <w:r>
        <w:rPr>
          <w:rFonts w:hint="eastAsia" w:ascii="宋体" w:hAnsi="宋体" w:cs="Tahoma"/>
          <w:bCs/>
          <w:color w:val="000000"/>
          <w:kern w:val="0"/>
          <w:sz w:val="24"/>
        </w:rPr>
        <w:t>：</w:t>
      </w:r>
      <w:r>
        <w:rPr>
          <w:rFonts w:ascii="宋体" w:hAnsi="宋体" w:cs="Tahoma"/>
          <w:bCs/>
          <w:color w:val="000000"/>
          <w:kern w:val="0"/>
          <w:sz w:val="24"/>
        </w:rPr>
        <w:t xml:space="preserve"> </w:t>
      </w:r>
    </w:p>
    <w:p>
      <w:pPr>
        <w:keepNext w:val="0"/>
        <w:keepLines w:val="0"/>
        <w:pageBreakBefore w:val="0"/>
        <w:widowControl/>
        <w:kinsoku/>
        <w:wordWrap/>
        <w:overflowPunct/>
        <w:topLinePunct w:val="0"/>
        <w:autoSpaceDE/>
        <w:autoSpaceDN/>
        <w:bidi w:val="0"/>
        <w:adjustRightInd/>
        <w:snapToGrid/>
        <w:spacing w:line="360" w:lineRule="exact"/>
        <w:textAlignment w:val="auto"/>
        <w:rPr>
          <w:rFonts w:ascii="宋体" w:hAnsi="宋体" w:cs="Tahoma"/>
          <w:bCs/>
          <w:color w:val="000000"/>
          <w:kern w:val="0"/>
          <w:sz w:val="24"/>
        </w:rPr>
      </w:pPr>
    </w:p>
    <w:p>
      <w:pPr>
        <w:keepNext w:val="0"/>
        <w:keepLines w:val="0"/>
        <w:pageBreakBefore w:val="0"/>
        <w:widowControl/>
        <w:kinsoku/>
        <w:wordWrap/>
        <w:overflowPunct/>
        <w:topLinePunct w:val="0"/>
        <w:autoSpaceDE/>
        <w:autoSpaceDN/>
        <w:bidi w:val="0"/>
        <w:adjustRightInd/>
        <w:snapToGrid/>
        <w:spacing w:line="360" w:lineRule="exact"/>
        <w:ind w:firstLine="1920" w:firstLineChars="800"/>
        <w:textAlignment w:val="auto"/>
        <w:rPr>
          <w:rFonts w:ascii="宋体" w:hAnsi="宋体" w:cs="Tahoma"/>
          <w:bCs/>
          <w:color w:val="000000"/>
          <w:kern w:val="0"/>
          <w:sz w:val="24"/>
        </w:rPr>
      </w:pPr>
      <w:r>
        <w:rPr>
          <w:rFonts w:hint="eastAsia" w:ascii="宋体" w:hAnsi="宋体" w:cs="Tahoma"/>
          <w:bCs/>
          <w:color w:val="000000"/>
          <w:kern w:val="0"/>
          <w:sz w:val="24"/>
        </w:rPr>
        <w:t>联系电话：</w:t>
      </w:r>
    </w:p>
    <w:p>
      <w:pPr>
        <w:keepNext w:val="0"/>
        <w:keepLines w:val="0"/>
        <w:pageBreakBefore w:val="0"/>
        <w:widowControl/>
        <w:kinsoku/>
        <w:wordWrap/>
        <w:overflowPunct/>
        <w:topLinePunct w:val="0"/>
        <w:autoSpaceDE/>
        <w:autoSpaceDN/>
        <w:bidi w:val="0"/>
        <w:adjustRightInd/>
        <w:snapToGrid/>
        <w:spacing w:line="360" w:lineRule="exact"/>
        <w:textAlignment w:val="auto"/>
        <w:rPr>
          <w:rFonts w:ascii="宋体" w:cs="Tahoma"/>
          <w:bCs/>
          <w:color w:val="000000"/>
          <w:kern w:val="0"/>
          <w:sz w:val="24"/>
        </w:rPr>
      </w:pPr>
      <w:r>
        <w:rPr>
          <w:rFonts w:ascii="宋体" w:cs="Tahoma"/>
          <w:bCs/>
          <w:color w:val="000000"/>
          <w:kern w:val="0"/>
          <w:sz w:val="24"/>
        </w:rPr>
        <w:t xml:space="preserve"> </w:t>
      </w:r>
    </w:p>
    <w:p>
      <w:pPr>
        <w:keepNext w:val="0"/>
        <w:keepLines w:val="0"/>
        <w:pageBreakBefore w:val="0"/>
        <w:widowControl/>
        <w:kinsoku/>
        <w:wordWrap/>
        <w:overflowPunct/>
        <w:topLinePunct w:val="0"/>
        <w:autoSpaceDE/>
        <w:autoSpaceDN/>
        <w:bidi w:val="0"/>
        <w:adjustRightInd/>
        <w:snapToGrid/>
        <w:spacing w:line="360" w:lineRule="exact"/>
        <w:textAlignment w:val="auto"/>
        <w:rPr>
          <w:rFonts w:ascii="宋体" w:cs="Tahoma"/>
          <w:bCs/>
          <w:color w:val="000000"/>
          <w:kern w:val="0"/>
          <w:sz w:val="24"/>
        </w:rPr>
      </w:pPr>
    </w:p>
    <w:p>
      <w:pPr>
        <w:keepNext w:val="0"/>
        <w:keepLines w:val="0"/>
        <w:pageBreakBefore w:val="0"/>
        <w:widowControl/>
        <w:kinsoku/>
        <w:wordWrap/>
        <w:overflowPunct/>
        <w:topLinePunct w:val="0"/>
        <w:autoSpaceDE/>
        <w:autoSpaceDN/>
        <w:bidi w:val="0"/>
        <w:adjustRightInd/>
        <w:snapToGrid/>
        <w:spacing w:line="360" w:lineRule="exact"/>
        <w:ind w:firstLine="1920" w:firstLineChars="800"/>
        <w:jc w:val="left"/>
        <w:textAlignment w:val="auto"/>
        <w:rPr>
          <w:rFonts w:ascii="宋体" w:cs="Tahoma"/>
          <w:bCs/>
          <w:color w:val="000000"/>
          <w:kern w:val="0"/>
          <w:sz w:val="24"/>
        </w:rPr>
      </w:pPr>
      <w:r>
        <w:rPr>
          <w:rFonts w:hint="eastAsia" w:ascii="宋体" w:hAnsi="宋体" w:cs="Tahoma"/>
          <w:bCs/>
          <w:color w:val="000000"/>
          <w:kern w:val="0"/>
          <w:sz w:val="24"/>
        </w:rPr>
        <w:t>资产评估机构</w:t>
      </w:r>
      <w:r>
        <w:rPr>
          <w:rFonts w:ascii="宋体" w:hAnsi="宋体" w:cs="Tahoma"/>
          <w:bCs/>
          <w:color w:val="000000"/>
          <w:kern w:val="0"/>
          <w:sz w:val="24"/>
        </w:rPr>
        <w:t>(</w:t>
      </w:r>
      <w:r>
        <w:rPr>
          <w:rFonts w:hint="eastAsia" w:ascii="宋体" w:hAnsi="宋体" w:cs="Tahoma"/>
          <w:bCs/>
          <w:color w:val="000000"/>
          <w:kern w:val="0"/>
          <w:sz w:val="24"/>
        </w:rPr>
        <w:t>盖章</w:t>
      </w:r>
      <w:r>
        <w:rPr>
          <w:rFonts w:ascii="宋体" w:hAnsi="宋体" w:cs="Tahoma"/>
          <w:bCs/>
          <w:color w:val="000000"/>
          <w:kern w:val="0"/>
          <w:sz w:val="24"/>
        </w:rPr>
        <w:t>)</w:t>
      </w:r>
      <w:r>
        <w:rPr>
          <w:rFonts w:hint="eastAsia" w:ascii="宋体" w:hAnsi="宋体" w:cs="Tahoma"/>
          <w:bCs/>
          <w:color w:val="000000"/>
          <w:kern w:val="0"/>
          <w:sz w:val="24"/>
        </w:rPr>
        <w:t>：</w:t>
      </w:r>
      <w:r>
        <w:rPr>
          <w:rFonts w:ascii="宋体" w:cs="Tahoma"/>
          <w:bCs/>
          <w:color w:val="000000"/>
          <w:kern w:val="0"/>
          <w:sz w:val="24"/>
        </w:rPr>
        <w:t xml:space="preserve"> </w:t>
      </w:r>
    </w:p>
    <w:p>
      <w:pPr>
        <w:keepNext w:val="0"/>
        <w:keepLines w:val="0"/>
        <w:pageBreakBefore w:val="0"/>
        <w:widowControl/>
        <w:kinsoku/>
        <w:wordWrap/>
        <w:overflowPunct/>
        <w:topLinePunct w:val="0"/>
        <w:autoSpaceDE/>
        <w:autoSpaceDN/>
        <w:bidi w:val="0"/>
        <w:adjustRightInd/>
        <w:snapToGrid/>
        <w:spacing w:line="360" w:lineRule="exact"/>
        <w:ind w:firstLine="2280" w:firstLineChars="950"/>
        <w:jc w:val="left"/>
        <w:textAlignment w:val="auto"/>
        <w:rPr>
          <w:rFonts w:ascii="宋体" w:cs="Tahoma"/>
          <w:bCs/>
          <w:color w:val="000000"/>
          <w:kern w:val="0"/>
          <w:sz w:val="24"/>
        </w:rPr>
      </w:pPr>
    </w:p>
    <w:p>
      <w:pPr>
        <w:keepNext w:val="0"/>
        <w:keepLines w:val="0"/>
        <w:pageBreakBefore w:val="0"/>
        <w:widowControl/>
        <w:kinsoku/>
        <w:wordWrap/>
        <w:overflowPunct/>
        <w:topLinePunct w:val="0"/>
        <w:autoSpaceDE/>
        <w:autoSpaceDN/>
        <w:bidi w:val="0"/>
        <w:adjustRightInd/>
        <w:snapToGrid/>
        <w:spacing w:line="360" w:lineRule="exact"/>
        <w:ind w:firstLine="1920" w:firstLineChars="800"/>
        <w:textAlignment w:val="auto"/>
        <w:rPr>
          <w:rFonts w:ascii="宋体" w:hAnsi="宋体" w:cs="Tahoma"/>
          <w:bCs/>
          <w:color w:val="000000"/>
          <w:kern w:val="0"/>
          <w:sz w:val="24"/>
        </w:rPr>
      </w:pPr>
      <w:r>
        <w:rPr>
          <w:rFonts w:hint="eastAsia" w:ascii="宋体" w:hAnsi="宋体" w:cs="Tahoma"/>
          <w:bCs/>
          <w:color w:val="000000"/>
          <w:kern w:val="0"/>
          <w:sz w:val="24"/>
        </w:rPr>
        <w:t>代表人</w:t>
      </w:r>
      <w:r>
        <w:rPr>
          <w:rFonts w:ascii="宋体" w:hAnsi="宋体" w:cs="Tahoma"/>
          <w:bCs/>
          <w:color w:val="000000"/>
          <w:kern w:val="0"/>
          <w:sz w:val="24"/>
        </w:rPr>
        <w:t>(</w:t>
      </w:r>
      <w:r>
        <w:rPr>
          <w:rFonts w:hint="eastAsia" w:ascii="宋体" w:hAnsi="宋体" w:cs="Tahoma"/>
          <w:bCs/>
          <w:color w:val="000000"/>
          <w:kern w:val="0"/>
          <w:sz w:val="24"/>
        </w:rPr>
        <w:t>签字</w:t>
      </w:r>
      <w:r>
        <w:rPr>
          <w:rFonts w:ascii="宋体" w:hAnsi="宋体" w:cs="Tahoma"/>
          <w:bCs/>
          <w:color w:val="000000"/>
          <w:kern w:val="0"/>
          <w:sz w:val="24"/>
        </w:rPr>
        <w:t>)</w:t>
      </w:r>
      <w:r>
        <w:rPr>
          <w:rFonts w:hint="eastAsia" w:ascii="宋体" w:hAnsi="宋体" w:cs="Tahoma"/>
          <w:bCs/>
          <w:color w:val="000000"/>
          <w:kern w:val="0"/>
          <w:sz w:val="24"/>
        </w:rPr>
        <w:t>：</w:t>
      </w:r>
    </w:p>
    <w:p>
      <w:pPr>
        <w:keepNext w:val="0"/>
        <w:keepLines w:val="0"/>
        <w:pageBreakBefore w:val="0"/>
        <w:widowControl/>
        <w:kinsoku/>
        <w:wordWrap/>
        <w:overflowPunct/>
        <w:topLinePunct w:val="0"/>
        <w:autoSpaceDE/>
        <w:autoSpaceDN/>
        <w:bidi w:val="0"/>
        <w:adjustRightInd/>
        <w:snapToGrid/>
        <w:spacing w:line="360" w:lineRule="exact"/>
        <w:ind w:firstLine="2280" w:firstLineChars="950"/>
        <w:jc w:val="left"/>
        <w:textAlignment w:val="auto"/>
        <w:rPr>
          <w:rFonts w:ascii="宋体" w:cs="Tahoma"/>
          <w:bCs/>
          <w:color w:val="000000"/>
          <w:kern w:val="0"/>
          <w:sz w:val="24"/>
        </w:rPr>
      </w:pPr>
    </w:p>
    <w:p>
      <w:pPr>
        <w:keepNext w:val="0"/>
        <w:keepLines w:val="0"/>
        <w:pageBreakBefore w:val="0"/>
        <w:widowControl/>
        <w:kinsoku/>
        <w:wordWrap/>
        <w:overflowPunct/>
        <w:topLinePunct w:val="0"/>
        <w:autoSpaceDE/>
        <w:autoSpaceDN/>
        <w:bidi w:val="0"/>
        <w:adjustRightInd/>
        <w:snapToGrid/>
        <w:spacing w:line="360" w:lineRule="exact"/>
        <w:ind w:firstLine="1920" w:firstLineChars="800"/>
        <w:jc w:val="left"/>
        <w:textAlignment w:val="auto"/>
        <w:rPr>
          <w:rFonts w:hint="eastAsia" w:ascii="宋体" w:eastAsia="宋体" w:cs="Tahoma"/>
          <w:bCs/>
          <w:color w:val="000000"/>
          <w:kern w:val="0"/>
          <w:sz w:val="24"/>
          <w:lang w:eastAsia="zh-CN"/>
        </w:rPr>
      </w:pPr>
      <w:r>
        <w:rPr>
          <w:rFonts w:hint="eastAsia" w:ascii="宋体" w:hAnsi="宋体" w:cs="Tahoma"/>
          <w:bCs/>
          <w:color w:val="000000"/>
          <w:kern w:val="0"/>
          <w:sz w:val="24"/>
        </w:rPr>
        <w:t>联系电话</w:t>
      </w:r>
      <w:r>
        <w:rPr>
          <w:rFonts w:hint="eastAsia" w:ascii="宋体" w:hAnsi="宋体" w:cs="Tahoma"/>
          <w:bCs/>
          <w:color w:val="000000"/>
          <w:kern w:val="0"/>
          <w:sz w:val="24"/>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5400" w:firstLineChars="2250"/>
        <w:jc w:val="left"/>
        <w:textAlignment w:val="auto"/>
        <w:rPr>
          <w:rFonts w:ascii="宋体" w:hAnsi="宋体" w:cs="Tahoma"/>
          <w:bCs/>
          <w:color w:val="000000"/>
          <w:kern w:val="0"/>
          <w:sz w:val="24"/>
        </w:rPr>
      </w:pPr>
    </w:p>
    <w:p>
      <w:pPr>
        <w:keepNext w:val="0"/>
        <w:keepLines w:val="0"/>
        <w:pageBreakBefore w:val="0"/>
        <w:widowControl/>
        <w:kinsoku/>
        <w:wordWrap/>
        <w:overflowPunct/>
        <w:topLinePunct w:val="0"/>
        <w:autoSpaceDE/>
        <w:autoSpaceDN/>
        <w:bidi w:val="0"/>
        <w:adjustRightInd/>
        <w:snapToGrid/>
        <w:spacing w:line="360" w:lineRule="exact"/>
        <w:ind w:firstLine="5400" w:firstLineChars="2250"/>
        <w:jc w:val="left"/>
        <w:textAlignment w:val="auto"/>
        <w:rPr>
          <w:rFonts w:ascii="宋体" w:hAnsi="宋体" w:cs="Tahoma"/>
          <w:bCs/>
          <w:color w:val="000000"/>
          <w:kern w:val="0"/>
          <w:sz w:val="24"/>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cs="Tahoma"/>
          <w:bCs/>
          <w:color w:val="000000"/>
          <w:kern w:val="0"/>
          <w:sz w:val="24"/>
        </w:rPr>
      </w:pPr>
    </w:p>
    <w:p>
      <w:pPr>
        <w:widowControl/>
        <w:spacing w:line="400" w:lineRule="exact"/>
        <w:ind w:firstLine="5520" w:firstLineChars="2300"/>
        <w:jc w:val="left"/>
        <w:rPr>
          <w:rFonts w:ascii="宋体" w:cs="Tahoma"/>
          <w:bCs/>
          <w:color w:val="000000"/>
          <w:kern w:val="0"/>
          <w:sz w:val="24"/>
        </w:rPr>
      </w:pPr>
      <w:r>
        <w:rPr>
          <w:rFonts w:hint="eastAsia" w:ascii="宋体" w:hAnsi="宋体" w:cs="Tahoma"/>
          <w:bCs/>
          <w:color w:val="000000"/>
          <w:kern w:val="0"/>
          <w:sz w:val="24"/>
        </w:rPr>
        <w:t>签订地点：</w:t>
      </w:r>
    </w:p>
    <w:p>
      <w:pPr>
        <w:widowControl/>
        <w:spacing w:line="300" w:lineRule="exact"/>
        <w:rPr>
          <w:rFonts w:ascii="宋体" w:cs="Tahoma"/>
          <w:bCs/>
          <w:color w:val="000000"/>
          <w:kern w:val="0"/>
          <w:sz w:val="24"/>
        </w:rPr>
      </w:pPr>
    </w:p>
    <w:p>
      <w:pPr>
        <w:widowControl/>
        <w:spacing w:line="400" w:lineRule="exact"/>
        <w:ind w:firstLine="5400" w:firstLineChars="2250"/>
        <w:jc w:val="left"/>
        <w:rPr>
          <w:rFonts w:ascii="宋体" w:hAnsi="宋体" w:cs="Tahoma"/>
          <w:bCs/>
          <w:color w:val="000000"/>
          <w:kern w:val="0"/>
          <w:sz w:val="24"/>
        </w:rPr>
      </w:pPr>
    </w:p>
    <w:p>
      <w:pPr>
        <w:bidi w:val="0"/>
        <w:ind w:firstLine="5520" w:firstLineChars="2300"/>
        <w:jc w:val="left"/>
        <w:rPr>
          <w:lang w:val="en-US" w:eastAsia="zh-CN"/>
        </w:rPr>
      </w:pPr>
      <w:r>
        <w:rPr>
          <w:rFonts w:hint="eastAsia" w:ascii="宋体" w:hAnsi="宋体" w:cs="Tahoma"/>
          <w:bCs/>
          <w:color w:val="000000"/>
          <w:kern w:val="0"/>
          <w:sz w:val="24"/>
        </w:rPr>
        <w:t>签订日期：****年**月**日</w:t>
      </w:r>
    </w:p>
    <w:sectPr>
      <w:headerReference r:id="rId3" w:type="default"/>
      <w:footerReference r:id="rId4" w:type="default"/>
      <w:pgSz w:w="11906" w:h="16838"/>
      <w:pgMar w:top="1440" w:right="312" w:bottom="1440" w:left="85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4153"/>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QwOGY5YWFkNWE4OThiNzZlZDhmMTJlZmIxNzNkODIifQ=="/>
  </w:docVars>
  <w:rsids>
    <w:rsidRoot w:val="004B1369"/>
    <w:rsid w:val="00010310"/>
    <w:rsid w:val="00013C3B"/>
    <w:rsid w:val="00015E82"/>
    <w:rsid w:val="0005289A"/>
    <w:rsid w:val="000616D7"/>
    <w:rsid w:val="00064B76"/>
    <w:rsid w:val="00074003"/>
    <w:rsid w:val="00074B82"/>
    <w:rsid w:val="0007681E"/>
    <w:rsid w:val="00090E9E"/>
    <w:rsid w:val="000B6FD1"/>
    <w:rsid w:val="000C02EB"/>
    <w:rsid w:val="000D2057"/>
    <w:rsid w:val="000D34AD"/>
    <w:rsid w:val="000D6FD2"/>
    <w:rsid w:val="000E5AA1"/>
    <w:rsid w:val="00101108"/>
    <w:rsid w:val="001214A9"/>
    <w:rsid w:val="001252DC"/>
    <w:rsid w:val="00127BF7"/>
    <w:rsid w:val="00140813"/>
    <w:rsid w:val="00141285"/>
    <w:rsid w:val="00142FC4"/>
    <w:rsid w:val="00151C05"/>
    <w:rsid w:val="00161E4F"/>
    <w:rsid w:val="00165124"/>
    <w:rsid w:val="0016547E"/>
    <w:rsid w:val="00172C03"/>
    <w:rsid w:val="00174DCE"/>
    <w:rsid w:val="0018073A"/>
    <w:rsid w:val="00184E4D"/>
    <w:rsid w:val="001902DC"/>
    <w:rsid w:val="00190E36"/>
    <w:rsid w:val="00191BCB"/>
    <w:rsid w:val="001A69F6"/>
    <w:rsid w:val="001A6A1A"/>
    <w:rsid w:val="001B2FD7"/>
    <w:rsid w:val="001B6074"/>
    <w:rsid w:val="001B7823"/>
    <w:rsid w:val="001E55A8"/>
    <w:rsid w:val="001E5EA4"/>
    <w:rsid w:val="001F0DA5"/>
    <w:rsid w:val="001F2483"/>
    <w:rsid w:val="001F2A95"/>
    <w:rsid w:val="001F2F64"/>
    <w:rsid w:val="00206AC8"/>
    <w:rsid w:val="00226EA7"/>
    <w:rsid w:val="00244A50"/>
    <w:rsid w:val="0024604E"/>
    <w:rsid w:val="002521E2"/>
    <w:rsid w:val="00262758"/>
    <w:rsid w:val="00271E4A"/>
    <w:rsid w:val="0028074C"/>
    <w:rsid w:val="00282C3C"/>
    <w:rsid w:val="00293E4D"/>
    <w:rsid w:val="002A4C02"/>
    <w:rsid w:val="002A798D"/>
    <w:rsid w:val="002B0B61"/>
    <w:rsid w:val="002B4255"/>
    <w:rsid w:val="002C1B66"/>
    <w:rsid w:val="002C3FB5"/>
    <w:rsid w:val="002C562E"/>
    <w:rsid w:val="002D3827"/>
    <w:rsid w:val="002E2F42"/>
    <w:rsid w:val="002F48C7"/>
    <w:rsid w:val="003031B3"/>
    <w:rsid w:val="0031564D"/>
    <w:rsid w:val="003234EE"/>
    <w:rsid w:val="00327B1C"/>
    <w:rsid w:val="0034112D"/>
    <w:rsid w:val="00361A02"/>
    <w:rsid w:val="00365346"/>
    <w:rsid w:val="003666C9"/>
    <w:rsid w:val="00367B84"/>
    <w:rsid w:val="00367C19"/>
    <w:rsid w:val="00374E47"/>
    <w:rsid w:val="003823E6"/>
    <w:rsid w:val="0039009A"/>
    <w:rsid w:val="003B3FA1"/>
    <w:rsid w:val="003C7E09"/>
    <w:rsid w:val="003D626D"/>
    <w:rsid w:val="003F339C"/>
    <w:rsid w:val="003F4685"/>
    <w:rsid w:val="003F48B0"/>
    <w:rsid w:val="0040174B"/>
    <w:rsid w:val="00405C94"/>
    <w:rsid w:val="00411F11"/>
    <w:rsid w:val="00411F3B"/>
    <w:rsid w:val="00412AD0"/>
    <w:rsid w:val="00421281"/>
    <w:rsid w:val="00433B3B"/>
    <w:rsid w:val="00434788"/>
    <w:rsid w:val="00440D8F"/>
    <w:rsid w:val="00452D11"/>
    <w:rsid w:val="0046232F"/>
    <w:rsid w:val="00463A4D"/>
    <w:rsid w:val="00473A59"/>
    <w:rsid w:val="00477929"/>
    <w:rsid w:val="004A22E4"/>
    <w:rsid w:val="004A3A6F"/>
    <w:rsid w:val="004A4CF5"/>
    <w:rsid w:val="004B1369"/>
    <w:rsid w:val="004B4A59"/>
    <w:rsid w:val="004C5C7D"/>
    <w:rsid w:val="004F52CF"/>
    <w:rsid w:val="004F768F"/>
    <w:rsid w:val="00505C56"/>
    <w:rsid w:val="0051257F"/>
    <w:rsid w:val="00516E56"/>
    <w:rsid w:val="00535D3F"/>
    <w:rsid w:val="00543C9D"/>
    <w:rsid w:val="005509A5"/>
    <w:rsid w:val="0056786A"/>
    <w:rsid w:val="005753D0"/>
    <w:rsid w:val="00583EBD"/>
    <w:rsid w:val="00594161"/>
    <w:rsid w:val="005972AE"/>
    <w:rsid w:val="00597F0C"/>
    <w:rsid w:val="005A1959"/>
    <w:rsid w:val="005A4766"/>
    <w:rsid w:val="005B4FC9"/>
    <w:rsid w:val="005B4FF9"/>
    <w:rsid w:val="005D0C55"/>
    <w:rsid w:val="005E6DE1"/>
    <w:rsid w:val="005F5DE7"/>
    <w:rsid w:val="0060013E"/>
    <w:rsid w:val="00603CF8"/>
    <w:rsid w:val="00606E15"/>
    <w:rsid w:val="006143F2"/>
    <w:rsid w:val="00637524"/>
    <w:rsid w:val="006377FC"/>
    <w:rsid w:val="00642BBC"/>
    <w:rsid w:val="0064331C"/>
    <w:rsid w:val="006527FD"/>
    <w:rsid w:val="0065324F"/>
    <w:rsid w:val="00654084"/>
    <w:rsid w:val="00664625"/>
    <w:rsid w:val="00666985"/>
    <w:rsid w:val="00674F6A"/>
    <w:rsid w:val="0067791B"/>
    <w:rsid w:val="006808B7"/>
    <w:rsid w:val="006876A5"/>
    <w:rsid w:val="00690073"/>
    <w:rsid w:val="00693607"/>
    <w:rsid w:val="006A2098"/>
    <w:rsid w:val="006A5393"/>
    <w:rsid w:val="006A786B"/>
    <w:rsid w:val="006C0498"/>
    <w:rsid w:val="006C0A15"/>
    <w:rsid w:val="006C668D"/>
    <w:rsid w:val="006D1347"/>
    <w:rsid w:val="006F3F8A"/>
    <w:rsid w:val="00704B38"/>
    <w:rsid w:val="00706646"/>
    <w:rsid w:val="007162A9"/>
    <w:rsid w:val="00717168"/>
    <w:rsid w:val="007221D7"/>
    <w:rsid w:val="0072529D"/>
    <w:rsid w:val="00727120"/>
    <w:rsid w:val="007310A8"/>
    <w:rsid w:val="00731259"/>
    <w:rsid w:val="00735F64"/>
    <w:rsid w:val="0074692A"/>
    <w:rsid w:val="00746B8C"/>
    <w:rsid w:val="0074708D"/>
    <w:rsid w:val="007509EE"/>
    <w:rsid w:val="00750B2A"/>
    <w:rsid w:val="00763F07"/>
    <w:rsid w:val="00767E7D"/>
    <w:rsid w:val="00776018"/>
    <w:rsid w:val="007843EF"/>
    <w:rsid w:val="007A09A4"/>
    <w:rsid w:val="007A4477"/>
    <w:rsid w:val="007B0D46"/>
    <w:rsid w:val="007B1C1D"/>
    <w:rsid w:val="007B33D4"/>
    <w:rsid w:val="007B7564"/>
    <w:rsid w:val="007F5F60"/>
    <w:rsid w:val="0080027F"/>
    <w:rsid w:val="00800888"/>
    <w:rsid w:val="00806376"/>
    <w:rsid w:val="00817EED"/>
    <w:rsid w:val="008209A6"/>
    <w:rsid w:val="00821829"/>
    <w:rsid w:val="00824BAF"/>
    <w:rsid w:val="008306E1"/>
    <w:rsid w:val="00841215"/>
    <w:rsid w:val="008437D4"/>
    <w:rsid w:val="00844145"/>
    <w:rsid w:val="0084576A"/>
    <w:rsid w:val="008564F0"/>
    <w:rsid w:val="008578CF"/>
    <w:rsid w:val="008643ED"/>
    <w:rsid w:val="00866AF4"/>
    <w:rsid w:val="008708E3"/>
    <w:rsid w:val="00885B3D"/>
    <w:rsid w:val="00887FC0"/>
    <w:rsid w:val="008918C2"/>
    <w:rsid w:val="00891973"/>
    <w:rsid w:val="00891CF8"/>
    <w:rsid w:val="00895B06"/>
    <w:rsid w:val="00897A38"/>
    <w:rsid w:val="008B1BAA"/>
    <w:rsid w:val="008B52F4"/>
    <w:rsid w:val="008B791D"/>
    <w:rsid w:val="008C7F3B"/>
    <w:rsid w:val="008D6588"/>
    <w:rsid w:val="008E26E3"/>
    <w:rsid w:val="00900172"/>
    <w:rsid w:val="009033A2"/>
    <w:rsid w:val="00910CE0"/>
    <w:rsid w:val="00916ED4"/>
    <w:rsid w:val="00921969"/>
    <w:rsid w:val="00931BE8"/>
    <w:rsid w:val="00933741"/>
    <w:rsid w:val="00940DA0"/>
    <w:rsid w:val="00947648"/>
    <w:rsid w:val="0095392C"/>
    <w:rsid w:val="00957E17"/>
    <w:rsid w:val="0096038C"/>
    <w:rsid w:val="00967963"/>
    <w:rsid w:val="00974DCE"/>
    <w:rsid w:val="009848FD"/>
    <w:rsid w:val="0099034D"/>
    <w:rsid w:val="00997ED5"/>
    <w:rsid w:val="009A30B9"/>
    <w:rsid w:val="009A4E14"/>
    <w:rsid w:val="009B4D3C"/>
    <w:rsid w:val="009B4FB1"/>
    <w:rsid w:val="009B6E83"/>
    <w:rsid w:val="009C6B9E"/>
    <w:rsid w:val="009F60F9"/>
    <w:rsid w:val="009F6492"/>
    <w:rsid w:val="00A00884"/>
    <w:rsid w:val="00A05468"/>
    <w:rsid w:val="00A060CD"/>
    <w:rsid w:val="00A118FA"/>
    <w:rsid w:val="00A15DEE"/>
    <w:rsid w:val="00A215A2"/>
    <w:rsid w:val="00A21C09"/>
    <w:rsid w:val="00A25B15"/>
    <w:rsid w:val="00A376C0"/>
    <w:rsid w:val="00A40590"/>
    <w:rsid w:val="00A41EC3"/>
    <w:rsid w:val="00A43122"/>
    <w:rsid w:val="00A44823"/>
    <w:rsid w:val="00A63D41"/>
    <w:rsid w:val="00A65194"/>
    <w:rsid w:val="00A72526"/>
    <w:rsid w:val="00A7273C"/>
    <w:rsid w:val="00A832AE"/>
    <w:rsid w:val="00A844D0"/>
    <w:rsid w:val="00A8515B"/>
    <w:rsid w:val="00AA1F5F"/>
    <w:rsid w:val="00AA77E2"/>
    <w:rsid w:val="00AB5BCB"/>
    <w:rsid w:val="00AB655D"/>
    <w:rsid w:val="00AB6E3F"/>
    <w:rsid w:val="00AC1946"/>
    <w:rsid w:val="00AC1D2D"/>
    <w:rsid w:val="00AD7639"/>
    <w:rsid w:val="00AE6F02"/>
    <w:rsid w:val="00AF4002"/>
    <w:rsid w:val="00AF6764"/>
    <w:rsid w:val="00B11D9E"/>
    <w:rsid w:val="00B206AA"/>
    <w:rsid w:val="00B22FE4"/>
    <w:rsid w:val="00B34BD6"/>
    <w:rsid w:val="00B411D8"/>
    <w:rsid w:val="00B5453A"/>
    <w:rsid w:val="00B57E40"/>
    <w:rsid w:val="00B76017"/>
    <w:rsid w:val="00B91057"/>
    <w:rsid w:val="00BB00BB"/>
    <w:rsid w:val="00BB5611"/>
    <w:rsid w:val="00BC035B"/>
    <w:rsid w:val="00BC16C0"/>
    <w:rsid w:val="00BC4873"/>
    <w:rsid w:val="00BD56D1"/>
    <w:rsid w:val="00BD6D27"/>
    <w:rsid w:val="00BE419D"/>
    <w:rsid w:val="00BE52F4"/>
    <w:rsid w:val="00BF1BA9"/>
    <w:rsid w:val="00C06C87"/>
    <w:rsid w:val="00C26CD5"/>
    <w:rsid w:val="00C4188A"/>
    <w:rsid w:val="00C42741"/>
    <w:rsid w:val="00C42A07"/>
    <w:rsid w:val="00C43710"/>
    <w:rsid w:val="00C474AA"/>
    <w:rsid w:val="00C71299"/>
    <w:rsid w:val="00C80AEE"/>
    <w:rsid w:val="00C80F16"/>
    <w:rsid w:val="00C83B76"/>
    <w:rsid w:val="00C849E5"/>
    <w:rsid w:val="00C90F5A"/>
    <w:rsid w:val="00C911E2"/>
    <w:rsid w:val="00C97F40"/>
    <w:rsid w:val="00CA642B"/>
    <w:rsid w:val="00CA6C4E"/>
    <w:rsid w:val="00CA70C4"/>
    <w:rsid w:val="00CE6479"/>
    <w:rsid w:val="00D11C42"/>
    <w:rsid w:val="00D2135D"/>
    <w:rsid w:val="00D41651"/>
    <w:rsid w:val="00D52594"/>
    <w:rsid w:val="00D627BB"/>
    <w:rsid w:val="00D63D94"/>
    <w:rsid w:val="00D6438A"/>
    <w:rsid w:val="00D65DB2"/>
    <w:rsid w:val="00D70458"/>
    <w:rsid w:val="00D723B1"/>
    <w:rsid w:val="00D724D2"/>
    <w:rsid w:val="00D75F52"/>
    <w:rsid w:val="00D761E8"/>
    <w:rsid w:val="00DA4CF5"/>
    <w:rsid w:val="00DA58BD"/>
    <w:rsid w:val="00DC66CD"/>
    <w:rsid w:val="00DD4521"/>
    <w:rsid w:val="00DE15E2"/>
    <w:rsid w:val="00DF0C59"/>
    <w:rsid w:val="00DF2514"/>
    <w:rsid w:val="00E05C77"/>
    <w:rsid w:val="00E06935"/>
    <w:rsid w:val="00E11D14"/>
    <w:rsid w:val="00E120AA"/>
    <w:rsid w:val="00E306E9"/>
    <w:rsid w:val="00E32EFF"/>
    <w:rsid w:val="00E447BE"/>
    <w:rsid w:val="00E55D03"/>
    <w:rsid w:val="00E62835"/>
    <w:rsid w:val="00E70D5A"/>
    <w:rsid w:val="00E72EC5"/>
    <w:rsid w:val="00E76292"/>
    <w:rsid w:val="00E854C2"/>
    <w:rsid w:val="00E85F63"/>
    <w:rsid w:val="00E90457"/>
    <w:rsid w:val="00E935CB"/>
    <w:rsid w:val="00E9501F"/>
    <w:rsid w:val="00EB5930"/>
    <w:rsid w:val="00EC38E1"/>
    <w:rsid w:val="00EE17C5"/>
    <w:rsid w:val="00EE5785"/>
    <w:rsid w:val="00EE7F76"/>
    <w:rsid w:val="00F0185B"/>
    <w:rsid w:val="00F138D0"/>
    <w:rsid w:val="00F1408F"/>
    <w:rsid w:val="00F168B7"/>
    <w:rsid w:val="00F17F7A"/>
    <w:rsid w:val="00F268BD"/>
    <w:rsid w:val="00F27A9E"/>
    <w:rsid w:val="00F31817"/>
    <w:rsid w:val="00F33CA7"/>
    <w:rsid w:val="00F43332"/>
    <w:rsid w:val="00F57FC6"/>
    <w:rsid w:val="00F67389"/>
    <w:rsid w:val="00F77743"/>
    <w:rsid w:val="00F77AE6"/>
    <w:rsid w:val="00F81DD0"/>
    <w:rsid w:val="00F938B7"/>
    <w:rsid w:val="00F94158"/>
    <w:rsid w:val="00F96FEE"/>
    <w:rsid w:val="00FA4744"/>
    <w:rsid w:val="00FB4778"/>
    <w:rsid w:val="00FC32F7"/>
    <w:rsid w:val="00FE6220"/>
    <w:rsid w:val="00FF62FD"/>
    <w:rsid w:val="1423644C"/>
    <w:rsid w:val="15663ED2"/>
    <w:rsid w:val="17614667"/>
    <w:rsid w:val="1F8753FE"/>
    <w:rsid w:val="33621027"/>
    <w:rsid w:val="3E855E34"/>
    <w:rsid w:val="516B5DAC"/>
    <w:rsid w:val="6BD023B6"/>
    <w:rsid w:val="7E8E0FC1"/>
    <w:rsid w:val="E39E4AD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0"/>
    <w:qFormat/>
    <w:uiPriority w:val="99"/>
    <w:pPr>
      <w:widowControl/>
      <w:jc w:val="left"/>
      <w:outlineLvl w:val="1"/>
    </w:pPr>
    <w:rPr>
      <w:rFonts w:ascii="宋体" w:hAnsi="宋体" w:cs="宋体"/>
      <w:b/>
      <w:bCs/>
      <w:kern w:val="0"/>
      <w:sz w:val="24"/>
    </w:rPr>
  </w:style>
  <w:style w:type="character" w:default="1" w:styleId="8">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locked/>
    <w:uiPriority w:val="99"/>
    <w:pPr>
      <w:jc w:val="left"/>
    </w:pPr>
  </w:style>
  <w:style w:type="paragraph" w:styleId="4">
    <w:name w:val="Balloon Text"/>
    <w:basedOn w:val="1"/>
    <w:link w:val="13"/>
    <w:semiHidden/>
    <w:unhideWhenUsed/>
    <w:qFormat/>
    <w:locked/>
    <w:uiPriority w:val="99"/>
    <w:rPr>
      <w:sz w:val="18"/>
      <w:szCs w:val="18"/>
    </w:rPr>
  </w:style>
  <w:style w:type="paragraph" w:styleId="5">
    <w:name w:val="footer"/>
    <w:basedOn w:val="1"/>
    <w:link w:val="11"/>
    <w:autoRedefine/>
    <w:qFormat/>
    <w:uiPriority w:val="99"/>
    <w:pPr>
      <w:tabs>
        <w:tab w:val="center" w:pos="4153"/>
        <w:tab w:val="right" w:pos="8306"/>
      </w:tabs>
      <w:snapToGrid w:val="0"/>
      <w:jc w:val="left"/>
    </w:pPr>
    <w:rPr>
      <w:sz w:val="18"/>
      <w:szCs w:val="18"/>
    </w:rPr>
  </w:style>
  <w:style w:type="paragraph" w:styleId="6">
    <w:name w:val="header"/>
    <w:basedOn w:val="1"/>
    <w:link w:val="12"/>
    <w:autoRedefine/>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99"/>
    <w:rPr>
      <w:rFonts w:cs="Times New Roman"/>
    </w:rPr>
  </w:style>
  <w:style w:type="character" w:customStyle="1" w:styleId="10">
    <w:name w:val="标题 2 Char"/>
    <w:basedOn w:val="8"/>
    <w:link w:val="2"/>
    <w:qFormat/>
    <w:locked/>
    <w:uiPriority w:val="99"/>
    <w:rPr>
      <w:rFonts w:ascii="宋体" w:eastAsia="宋体" w:cs="宋体"/>
      <w:b/>
      <w:bCs/>
      <w:sz w:val="24"/>
      <w:szCs w:val="24"/>
    </w:rPr>
  </w:style>
  <w:style w:type="character" w:customStyle="1" w:styleId="11">
    <w:name w:val="页脚 Char"/>
    <w:basedOn w:val="8"/>
    <w:link w:val="5"/>
    <w:autoRedefine/>
    <w:semiHidden/>
    <w:qFormat/>
    <w:locked/>
    <w:uiPriority w:val="99"/>
    <w:rPr>
      <w:rFonts w:cs="Times New Roman"/>
      <w:sz w:val="18"/>
      <w:szCs w:val="18"/>
    </w:rPr>
  </w:style>
  <w:style w:type="character" w:customStyle="1" w:styleId="12">
    <w:name w:val="页眉 Char"/>
    <w:basedOn w:val="8"/>
    <w:link w:val="6"/>
    <w:autoRedefine/>
    <w:semiHidden/>
    <w:qFormat/>
    <w:locked/>
    <w:uiPriority w:val="99"/>
    <w:rPr>
      <w:rFonts w:cs="Times New Roman"/>
      <w:sz w:val="18"/>
      <w:szCs w:val="18"/>
    </w:rPr>
  </w:style>
  <w:style w:type="character" w:customStyle="1" w:styleId="13">
    <w:name w:val="批注框文本 Char"/>
    <w:basedOn w:val="8"/>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6</Pages>
  <Words>503</Words>
  <Characters>2871</Characters>
  <Lines>23</Lines>
  <Paragraphs>6</Paragraphs>
  <TotalTime>41</TotalTime>
  <ScaleCrop>false</ScaleCrop>
  <LinksUpToDate>false</LinksUpToDate>
  <CharactersWithSpaces>3368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2024-01-17T17:55:00Z</dcterms:created>
  <dc:creator>微软用户</dc:creator>
  <cp:lastModifiedBy>Y.</cp:lastModifiedBy>
  <cp:lastPrinted>2024-01-23T08:47:45Z</cp:lastPrinted>
  <dcterms:modified xsi:type="dcterms:W3CDTF">2024-01-23T08:47:59Z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E4353D38AEF04D3B918CFA4848583828_12</vt:lpwstr>
  </property>
</Properties>
</file>