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spacing w:line="360" w:lineRule="auto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  <w:lang w:val="en-US" w:eastAsia="zh-CN"/>
        </w:rPr>
        <w:t>德阳高新发展有限公司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>商铺租赁权拍卖服务</w:t>
      </w:r>
      <w:r>
        <w:rPr>
          <w:rFonts w:hint="eastAsia" w:ascii="Times New Roman" w:hAnsi="Times New Roman" w:cs="Times New Roman"/>
          <w:color w:val="auto"/>
          <w:sz w:val="28"/>
          <w:szCs w:val="28"/>
          <w:u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，结合本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项目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特点及服务工作内容，经仔细研究决定，我方（单位的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）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服务费金额</w:t>
      </w:r>
      <w:r>
        <w:rPr>
          <w:rFonts w:hint="eastAsia" w:ascii="Times New Roman" w:hAnsi="Times New Roman" w:cs="Times New Roman"/>
          <w:color w:val="auto"/>
          <w:sz w:val="28"/>
          <w:szCs w:val="28"/>
          <w:lang w:eastAsia="zh-CN"/>
        </w:rPr>
        <w:t>如下：</w:t>
      </w:r>
    </w:p>
    <w:p>
      <w:pPr>
        <w:pStyle w:val="2"/>
        <w:rPr>
          <w:rFonts w:hint="eastAsia"/>
          <w:lang w:eastAsia="zh-CN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"/>
        <w:gridCol w:w="3422"/>
        <w:gridCol w:w="2177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成交额（万元）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差额定率累进收费标准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（</w:t>
            </w: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%</w:t>
            </w:r>
            <w:r>
              <w:rPr>
                <w:rFonts w:hint="eastAsia" w:ascii="Times New Roman" w:hAnsi="Times New Roman" w:eastAsia="宋体" w:cs="宋体"/>
                <w:color w:val="auto"/>
                <w:sz w:val="24"/>
                <w:szCs w:val="24"/>
                <w:highlight w:val="none"/>
              </w:rPr>
              <w:t>）</w:t>
            </w:r>
          </w:p>
        </w:tc>
        <w:tc>
          <w:tcPr>
            <w:tcW w:w="1151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宋体"/>
                <w:color w:val="auto"/>
                <w:sz w:val="24"/>
                <w:szCs w:val="24"/>
                <w:highlight w:val="none"/>
                <w:lang w:val="en-US" w:eastAsia="zh-CN"/>
              </w:rPr>
              <w:t>费用承担对象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151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□委托方</w:t>
            </w:r>
          </w:p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☑竞得人</w:t>
            </w:r>
          </w:p>
          <w:p>
            <w:pPr>
              <w:pStyle w:val="2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  <w:p>
            <w:pPr>
              <w:pStyle w:val="6"/>
              <w:jc w:val="center"/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□委托方</w:t>
            </w:r>
          </w:p>
          <w:p>
            <w:pPr>
              <w:pStyle w:val="6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和竞得人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100万元（不含）以上~500万元（含）以下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500万元（不含）以上~1000万元（含）以下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1000万元（不含）以上~5000万元（含）以下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5000万元（含）以上~10000万元（不含）以下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562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default"/>
                <w:color w:val="auto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007" w:type="pct"/>
            <w:noWrap w:val="0"/>
            <w:vAlign w:val="center"/>
          </w:tcPr>
          <w:p>
            <w:pPr>
              <w:pStyle w:val="2"/>
              <w:ind w:left="0" w:leftChars="0" w:right="0" w:rightChars="0"/>
              <w:jc w:val="center"/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10000万元（含）以上</w:t>
            </w:r>
          </w:p>
        </w:tc>
        <w:tc>
          <w:tcPr>
            <w:tcW w:w="1277" w:type="pc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151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</w:tbl>
    <w:p>
      <w:pPr>
        <w:spacing w:line="480" w:lineRule="auto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注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所有报价均用人民币表示，</w:t>
      </w:r>
      <w:r>
        <w:rPr>
          <w:rFonts w:hint="eastAsia" w:ascii="Times New Roman" w:hAnsi="Times New Roman" w:cs="Times New Roman"/>
          <w:color w:val="auto"/>
          <w:sz w:val="24"/>
          <w:szCs w:val="24"/>
          <w:lang w:val="en-US" w:eastAsia="zh-CN"/>
        </w:rPr>
        <w:t>采用上述差额定率累进收费标准收取拍卖佣金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，该费用为</w:t>
      </w:r>
      <w:r>
        <w:rPr>
          <w:rFonts w:hint="default" w:ascii="Times New Roman" w:hAnsi="Times New Roman" w:cs="Times New Roman"/>
          <w:color w:val="auto"/>
          <w:sz w:val="24"/>
          <w:szCs w:val="24"/>
          <w:lang w:eastAsia="zh-CN"/>
        </w:rPr>
        <w:t>固定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包干费用，</w:t>
      </w:r>
      <w:r>
        <w:rPr>
          <w:rFonts w:hint="default" w:ascii="Times New Roman" w:hAnsi="Times New Roman" w:cs="Times New Roman"/>
          <w:color w:val="auto"/>
          <w:sz w:val="24"/>
          <w:szCs w:val="24"/>
          <w:lang w:val="en-US" w:eastAsia="zh-CN"/>
        </w:rPr>
        <w:t>包括但不限于评估、编制、会务费、人工费、材料费、交通费、差旅费、税费、利润、保险等费用等为完成本项目约定服务的所有费用，以及后续服务费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。</w:t>
      </w:r>
      <w:bookmarkStart w:id="0" w:name="_GoBack"/>
      <w:bookmarkEnd w:id="0"/>
    </w:p>
    <w:p>
      <w:pPr>
        <w:pStyle w:val="2"/>
        <w:rPr>
          <w:rFonts w:hint="default" w:ascii="Times New Roman" w:hAnsi="Times New Roman" w:cs="Times New Roman"/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rFonts w:hint="default" w:ascii="Times New Roman" w:hAnsi="Times New Roman" w:cs="Times New Roman"/>
          <w:color w:val="auto"/>
          <w:sz w:val="24"/>
          <w:szCs w:val="24"/>
        </w:rPr>
      </w:pPr>
      <w:r>
        <w:rPr>
          <w:rFonts w:hint="default" w:ascii="Times New Roman" w:hAnsi="Times New Roman" w:cs="Times New Roman"/>
          <w:color w:val="auto"/>
          <w:sz w:val="24"/>
          <w:szCs w:val="24"/>
        </w:rPr>
        <w:t>单位名称：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4"/>
          <w:szCs w:val="24"/>
        </w:rPr>
        <w:t>（盖单位公章）</w:t>
      </w:r>
    </w:p>
    <w:p>
      <w:pPr>
        <w:bidi w:val="0"/>
        <w:ind w:firstLine="3600" w:firstLineChars="1500"/>
        <w:jc w:val="left"/>
      </w:pP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  期：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年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月</w:t>
      </w:r>
      <w:r>
        <w:rPr>
          <w:rFonts w:hint="default" w:ascii="Times New Roman" w:hAnsi="Times New Roman" w:cs="Times New Roman"/>
          <w:color w:val="auto"/>
          <w:sz w:val="24"/>
          <w:szCs w:val="24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4"/>
          <w:szCs w:val="24"/>
        </w:rPr>
        <w:t>日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3MjIzNWMxY2NiOTdhZTA0ZmM2NDJhNzQwNDZkZmYifQ=="/>
  </w:docVars>
  <w:rsids>
    <w:rsidRoot w:val="00000000"/>
    <w:rsid w:val="0EC96B12"/>
    <w:rsid w:val="2EDA7F57"/>
    <w:rsid w:val="34193C9E"/>
    <w:rsid w:val="37F17BF7"/>
    <w:rsid w:val="68BF1C15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Quote"/>
    <w:basedOn w:val="1"/>
    <w:next w:val="1"/>
    <w:autoRedefine/>
    <w:qFormat/>
    <w:uiPriority w:val="0"/>
    <w:pPr>
      <w:widowControl/>
      <w:jc w:val="left"/>
    </w:pPr>
    <w:rPr>
      <w:i/>
      <w:iCs/>
      <w:color w:val="000000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MR  RAN</cp:lastModifiedBy>
  <dcterms:modified xsi:type="dcterms:W3CDTF">2024-04-19T02:59:38Z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4252E4429DC8463B812D313AFB65576B_12</vt:lpwstr>
  </property>
</Properties>
</file>