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pPr>
        <w:rPr>
          <w:rFonts w:hint="eastAsia"/>
          <w:color w:val="auto"/>
          <w:highlight w:val="none"/>
        </w:rPr>
      </w:pPr>
    </w:p>
    <w:p>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pPr>
        <w:spacing w:line="480" w:lineRule="auto"/>
        <w:rPr>
          <w:rFonts w:hint="eastAsia" w:ascii="黑体" w:eastAsia="黑体"/>
          <w:b/>
          <w:color w:val="auto"/>
          <w:sz w:val="24"/>
          <w:highlight w:val="none"/>
        </w:rPr>
      </w:pPr>
    </w:p>
    <w:p>
      <w:pPr>
        <w:rPr>
          <w:rFonts w:hint="eastAsia" w:ascii="黑体" w:eastAsia="黑体"/>
          <w:b/>
          <w:color w:val="auto"/>
          <w:sz w:val="24"/>
          <w:highlight w:val="none"/>
        </w:rPr>
      </w:pPr>
    </w:p>
    <w:p>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pPr>
        <w:spacing w:line="780" w:lineRule="auto"/>
        <w:rPr>
          <w:rFonts w:hint="eastAsia" w:ascii="黑体" w:eastAsia="黑体"/>
          <w:b/>
          <w:color w:val="auto"/>
          <w:sz w:val="24"/>
          <w:highlight w:val="none"/>
          <w:u w:val="single"/>
        </w:rPr>
      </w:pPr>
    </w:p>
    <w:p>
      <w:pPr>
        <w:spacing w:line="780" w:lineRule="auto"/>
        <w:rPr>
          <w:rFonts w:hint="eastAsia" w:ascii="黑体" w:eastAsia="黑体"/>
          <w:b/>
          <w:color w:val="auto"/>
          <w:sz w:val="24"/>
          <w:highlight w:val="none"/>
          <w:u w:val="single"/>
        </w:rPr>
      </w:pPr>
    </w:p>
    <w:p>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pPr>
        <w:spacing w:line="780" w:lineRule="auto"/>
        <w:jc w:val="center"/>
        <w:rPr>
          <w:rFonts w:hint="eastAsia" w:ascii="宋体" w:hAnsi="宋体"/>
          <w:color w:val="auto"/>
          <w:sz w:val="24"/>
          <w:highlight w:val="none"/>
        </w:rPr>
      </w:pPr>
    </w:p>
    <w:p>
      <w:pPr>
        <w:pStyle w:val="4"/>
        <w:rPr>
          <w:rFonts w:hint="eastAsia"/>
          <w:color w:val="auto"/>
          <w:highlight w:val="none"/>
        </w:rPr>
      </w:pPr>
    </w:p>
    <w:p>
      <w:pPr>
        <w:rPr>
          <w:color w:val="auto"/>
          <w:highlight w:val="none"/>
        </w:rPr>
      </w:pPr>
    </w:p>
    <w:p>
      <w:pPr>
        <w:pStyle w:val="4"/>
        <w:jc w:val="center"/>
        <w:rPr>
          <w:rFonts w:hint="eastAsia" w:ascii="宋体" w:hAnsi="宋体"/>
          <w:b/>
          <w:bCs/>
          <w:color w:val="auto"/>
          <w:sz w:val="36"/>
          <w:szCs w:val="36"/>
          <w:highlight w:val="none"/>
        </w:rPr>
      </w:pPr>
    </w:p>
    <w:p>
      <w:pPr>
        <w:pStyle w:val="4"/>
        <w:jc w:val="center"/>
        <w:rPr>
          <w:rFonts w:hint="eastAsia" w:ascii="宋体" w:hAnsi="宋体"/>
          <w:b/>
          <w:bCs/>
          <w:color w:val="auto"/>
          <w:sz w:val="36"/>
          <w:szCs w:val="36"/>
          <w:highlight w:val="none"/>
        </w:rPr>
      </w:pPr>
    </w:p>
    <w:p>
      <w:pPr>
        <w:pStyle w:val="4"/>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s="Times New Roman"/>
          <w:color w:val="auto"/>
          <w:sz w:val="24"/>
          <w:highlight w:val="none"/>
          <w:lang w:val="en-US" w:eastAsia="zh-CN"/>
        </w:rPr>
        <w:t>德阳国家高新技术产业开发区科技创新产业园建设项目－聆湖西路二段、万胜五街施工图审查</w:t>
      </w:r>
      <w:r>
        <w:rPr>
          <w:rFonts w:hint="eastAsia" w:ascii="宋体" w:hAnsi="宋体" w:cs="Times New Roman"/>
          <w:color w:val="auto"/>
          <w:sz w:val="24"/>
          <w:highlight w:val="none"/>
        </w:rPr>
        <w:t>工作</w:t>
      </w:r>
      <w:r>
        <w:rPr>
          <w:rFonts w:hint="eastAsia" w:ascii="宋体" w:hAnsi="宋体"/>
          <w:color w:val="auto"/>
          <w:sz w:val="24"/>
          <w:highlight w:val="none"/>
        </w:rPr>
        <w:t>，经双方协商一致，签订本合同，以兹遵守。</w:t>
      </w:r>
    </w:p>
    <w:p>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s="Times New Roman"/>
          <w:color w:val="auto"/>
          <w:sz w:val="24"/>
          <w:highlight w:val="none"/>
          <w:lang w:val="en-US" w:eastAsia="zh-CN"/>
        </w:rPr>
        <w:t>聆湖西路二段：长约967米，宽约24米；包含单位工程有道路工程、排水工程、电力工程、交通工程等；万胜五街：长约1650米，宽20米；包含单位工程有道路工程、排水工程、电力工程、交通工程等。</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项目地点：德阳高新区内</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pPr>
              <w:spacing w:line="360" w:lineRule="auto"/>
              <w:jc w:val="center"/>
              <w:rPr>
                <w:rFonts w:hint="eastAsia" w:ascii="宋体" w:hAnsi="宋体"/>
                <w:color w:val="auto"/>
                <w:sz w:val="24"/>
                <w:highlight w:val="none"/>
              </w:rPr>
            </w:pPr>
          </w:p>
        </w:tc>
        <w:tc>
          <w:tcPr>
            <w:tcW w:w="7718" w:type="dxa"/>
            <w:noWrap w:val="0"/>
            <w:vAlign w:val="center"/>
          </w:tcPr>
          <w:p>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风景园林</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pPr>
              <w:spacing w:line="360" w:lineRule="auto"/>
              <w:jc w:val="center"/>
              <w:rPr>
                <w:rFonts w:hint="eastAsia" w:ascii="宋体" w:hAnsi="宋体"/>
                <w:color w:val="auto"/>
                <w:sz w:val="24"/>
                <w:highlight w:val="none"/>
              </w:rPr>
            </w:pPr>
          </w:p>
        </w:tc>
        <w:tc>
          <w:tcPr>
            <w:tcW w:w="7718"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pPr>
        <w:spacing w:line="360" w:lineRule="auto"/>
        <w:ind w:firstLine="480" w:firstLineChars="200"/>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网上委托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pPr>
              <w:spacing w:line="360" w:lineRule="auto"/>
              <w:jc w:val="center"/>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复印件</w:t>
            </w:r>
          </w:p>
        </w:tc>
      </w:tr>
    </w:tbl>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个</w:t>
            </w:r>
            <w:r>
              <w:rPr>
                <w:rFonts w:hint="eastAsia" w:ascii="宋体" w:hAnsi="宋体"/>
                <w:color w:val="auto"/>
                <w:szCs w:val="21"/>
                <w:highlight w:val="none"/>
              </w:rPr>
              <w:t>工作日出具审查意见，收到回复确认后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个工作日出具报告</w:t>
            </w:r>
          </w:p>
        </w:tc>
        <w:tc>
          <w:tcPr>
            <w:tcW w:w="1214"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pPr>
              <w:spacing w:line="360" w:lineRule="auto"/>
              <w:jc w:val="center"/>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pPr>
              <w:spacing w:line="360" w:lineRule="auto"/>
              <w:jc w:val="center"/>
              <w:rPr>
                <w:rFonts w:hint="eastAsia" w:ascii="宋体" w:hAnsi="宋体"/>
                <w:color w:val="auto"/>
                <w:szCs w:val="21"/>
                <w:highlight w:val="none"/>
              </w:rPr>
            </w:pPr>
          </w:p>
        </w:tc>
        <w:tc>
          <w:tcPr>
            <w:tcW w:w="2769" w:type="dxa"/>
            <w:vMerge w:val="continue"/>
            <w:noWrap w:val="0"/>
            <w:vAlign w:val="center"/>
          </w:tcPr>
          <w:p>
            <w:pPr>
              <w:spacing w:line="360" w:lineRule="auto"/>
              <w:jc w:val="center"/>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bl>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pPr>
        <w:pStyle w:val="3"/>
        <w:spacing w:line="360" w:lineRule="auto"/>
        <w:ind w:firstLine="480" w:firstLineChars="200"/>
        <w:rPr>
          <w:rFonts w:hint="eastAsia" w:ascii="宋体" w:hAnsi="宋体"/>
          <w:color w:val="auto"/>
          <w:sz w:val="24"/>
          <w:szCs w:val="24"/>
          <w:highlight w:val="none"/>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pPr>
        <w:spacing w:line="360" w:lineRule="auto"/>
        <w:ind w:firstLine="480" w:firstLineChars="200"/>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乙方提交该项目全部图纸的审查报告及合格书，并完成主管部门施工图备案后，提交付款申请后15个工作日内，一次性付清全部费用。</w:t>
      </w:r>
    </w:p>
    <w:p>
      <w:pPr>
        <w:spacing w:line="360" w:lineRule="auto"/>
        <w:ind w:firstLine="480" w:firstLineChars="200"/>
        <w:rPr>
          <w:rFonts w:hint="eastAsia" w:ascii="宋体" w:hAnsi="宋体"/>
          <w:color w:val="auto"/>
          <w:sz w:val="24"/>
          <w:highlight w:val="none"/>
        </w:rPr>
      </w:pPr>
      <w:r>
        <w:rPr>
          <w:rFonts w:hint="eastAsia" w:ascii="宋体" w:hAnsi="宋体" w:cs="Times New Roman"/>
          <w:color w:val="auto"/>
          <w:sz w:val="24"/>
          <w:highlight w:val="none"/>
          <w:lang w:val="en-US" w:eastAsia="zh-CN"/>
        </w:rPr>
        <w:t>甲方</w:t>
      </w:r>
      <w:r>
        <w:rPr>
          <w:rFonts w:hint="default" w:ascii="宋体" w:hAnsi="宋体" w:cs="Times New Roman"/>
          <w:color w:val="auto"/>
          <w:sz w:val="24"/>
          <w:highlight w:val="none"/>
          <w:lang w:val="en-US" w:eastAsia="zh-CN"/>
        </w:rPr>
        <w:t>付款前，乙方应向甲方出具付款申请书以及足额、合法有效增值税专用发票，否则甲方有权拒绝付款，且不因拒绝付款承担任何责任；甲方以转账方式支付合同价款。</w:t>
      </w:r>
      <w:bookmarkStart w:id="1" w:name="_GoBack"/>
      <w:bookmarkEnd w:id="1"/>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第六条  双方责任</w:t>
      </w:r>
    </w:p>
    <w:p>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pPr>
        <w:spacing w:line="360" w:lineRule="auto"/>
        <w:rPr>
          <w:rFonts w:hint="eastAsia" w:asciiTheme="minorEastAsia" w:hAnsiTheme="minorEastAsia" w:eastAsiaTheme="minorEastAsia" w:cstheme="minorEastAsia"/>
          <w:color w:val="auto"/>
          <w:sz w:val="24"/>
          <w:highlight w:val="none"/>
        </w:rPr>
      </w:pPr>
      <w:r>
        <w:rPr>
          <w:rFonts w:hint="eastAsia" w:ascii="黑体" w:hAnsi="宋体" w:eastAsia="黑体"/>
          <w:b/>
          <w:color w:val="auto"/>
          <w:sz w:val="24"/>
          <w:highlight w:val="none"/>
        </w:rPr>
        <w:t xml:space="preserve">   </w:t>
      </w:r>
      <w:r>
        <w:rPr>
          <w:rFonts w:hint="eastAsia" w:asciiTheme="minorEastAsia" w:hAnsiTheme="minorEastAsia" w:eastAsiaTheme="minorEastAsia" w:cstheme="minorEastAsia"/>
          <w:b/>
          <w:color w:val="auto"/>
          <w:sz w:val="24"/>
          <w:highlight w:val="none"/>
        </w:rPr>
        <w:t xml:space="preserve"> </w:t>
      </w:r>
      <w:r>
        <w:rPr>
          <w:rFonts w:hint="eastAsia" w:asciiTheme="minorEastAsia" w:hAnsiTheme="minorEastAsia" w:eastAsiaTheme="minorEastAsia" w:cstheme="minorEastAsia"/>
          <w:color w:val="auto"/>
          <w:sz w:val="24"/>
          <w:highlight w:val="none"/>
        </w:rPr>
        <w:t>7.1在合同履行期间，甲方要求中止或解除合同，已开始审查咨询工作的，甲方应根据乙方已进行的实际工作量，不足一半时，按该阶段审查咨询费的一半支付；超过一半时，按该阶段审查咨询费的全部支付。</w:t>
      </w:r>
    </w:p>
    <w:p>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7.2甲方应按本合同第五条的时间和金额向乙方支付审查咨询费用。如本合同项目暂停缓延，甲方均应按7.1条规定支付审查咨询费。</w:t>
      </w:r>
    </w:p>
    <w:p>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7.3乙方对审查报告文件出现的遗漏或错误负责修改和补充。由于审查人员失误造成工程安全事故损失，乙方除协助勘察设计单位采取补救措施外，还应赔偿由此造成的全部损失。</w:t>
      </w:r>
    </w:p>
    <w:p>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7.4由于乙方自身原因，延误了按本合同第四条规定的文件交付时间，应按审查咨询费总额20%向甲方承担违约金；。</w:t>
      </w:r>
    </w:p>
    <w:p>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7.5合同生效后，乙方要求终止或解除合同，应当返还已付审查咨询费，并按照审查咨询费总额20%向甲方支付违约金。</w:t>
      </w:r>
    </w:p>
    <w:p>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7.6乙方违约除承担违约金外，还应承担甲方全部损失，包括但不限于甲方为主张权利产生的诉讼费、保全费、保全保险费、律师费、公证费、差旅费等全部费用。</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本合同一式伍份，甲方</w:t>
      </w:r>
      <w:r>
        <w:rPr>
          <w:rFonts w:hint="eastAsia" w:ascii="宋体" w:hAnsi="宋体"/>
          <w:color w:val="auto"/>
          <w:sz w:val="24"/>
          <w:highlight w:val="none"/>
          <w:lang w:val="en-US" w:eastAsia="zh-CN"/>
        </w:rPr>
        <w:t>叁</w:t>
      </w:r>
      <w:r>
        <w:rPr>
          <w:rFonts w:hint="eastAsia" w:ascii="宋体" w:hAnsi="宋体"/>
          <w:color w:val="auto"/>
          <w:sz w:val="24"/>
          <w:highlight w:val="none"/>
        </w:rPr>
        <w:t>份，乙方</w:t>
      </w:r>
      <w:r>
        <w:rPr>
          <w:rFonts w:hint="eastAsia" w:ascii="宋体" w:hAnsi="宋体"/>
          <w:color w:val="auto"/>
          <w:sz w:val="24"/>
          <w:highlight w:val="none"/>
          <w:lang w:val="en-US" w:eastAsia="zh-CN"/>
        </w:rPr>
        <w:t>贰</w:t>
      </w:r>
      <w:r>
        <w:rPr>
          <w:rFonts w:hint="eastAsia" w:ascii="宋体" w:hAnsi="宋体"/>
          <w:color w:val="auto"/>
          <w:sz w:val="24"/>
          <w:highlight w:val="none"/>
        </w:rPr>
        <w:t>份。</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pPr>
        <w:spacing w:line="360" w:lineRule="auto"/>
        <w:rPr>
          <w:rFonts w:hint="eastAsia" w:ascii="宋体" w:hAnsi="宋体"/>
          <w:color w:val="auto"/>
          <w:sz w:val="24"/>
          <w:highlight w:val="none"/>
        </w:rPr>
      </w:pPr>
    </w:p>
    <w:p>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pPr>
        <w:spacing w:line="360" w:lineRule="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pPr>
        <w:spacing w:line="360" w:lineRule="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pPr>
        <w:spacing w:line="360" w:lineRule="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pPr>
        <w:spacing w:line="360" w:lineRule="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pPr>
        <w:spacing w:line="360" w:lineRule="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pPr>
        <w:spacing w:line="360" w:lineRule="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146180C"/>
    <w:rsid w:val="03612D93"/>
    <w:rsid w:val="145E758E"/>
    <w:rsid w:val="1A623CC5"/>
    <w:rsid w:val="2B8B1F4C"/>
    <w:rsid w:val="2D657C06"/>
    <w:rsid w:val="38727227"/>
    <w:rsid w:val="3FB6784C"/>
    <w:rsid w:val="43763CA7"/>
    <w:rsid w:val="4CCF4510"/>
    <w:rsid w:val="520779EE"/>
    <w:rsid w:val="60B72158"/>
    <w:rsid w:val="68A62096"/>
    <w:rsid w:val="73330B58"/>
    <w:rsid w:val="798157A6"/>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7</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2023-11-27T01:43:00Z</cp:lastPrinted>
  <dcterms:modified xsi:type="dcterms:W3CDTF">2024-05-07T00:46:23Z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2A0B962B32534305B425C4163FDEBB20_13</vt:lpwstr>
  </property>
</Properties>
</file>