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CE840D">
      <w:pPr>
        <w:spacing w:before="530" w:beforeLines="100" w:after="530" w:afterLines="100"/>
        <w:jc w:val="center"/>
        <w:rPr>
          <w:rFonts w:ascii="仿宋" w:hAnsi="仿宋" w:eastAsia="仿宋"/>
          <w:b/>
          <w:bCs/>
          <w:color w:val="333333"/>
          <w:kern w:val="36"/>
          <w:sz w:val="36"/>
          <w:szCs w:val="36"/>
        </w:rPr>
      </w:pPr>
      <w:r>
        <w:rPr>
          <w:rFonts w:ascii="仿宋" w:hAnsi="仿宋" w:eastAsia="仿宋"/>
          <w:b/>
          <w:bCs/>
          <w:color w:val="333333"/>
          <w:kern w:val="36"/>
          <w:sz w:val="36"/>
          <w:szCs w:val="36"/>
        </w:rPr>
        <w:t>土地估价委托协议书</w:t>
      </w:r>
    </w:p>
    <w:p w14:paraId="69E604E6">
      <w:pPr>
        <w:widowControl/>
        <w:shd w:val="clear" w:color="auto" w:fill="FFFFFF"/>
        <w:spacing w:line="480" w:lineRule="exact"/>
        <w:jc w:val="left"/>
        <w:rPr>
          <w:rFonts w:ascii="仿宋" w:hAnsi="仿宋" w:eastAsia="仿宋"/>
          <w:kern w:val="0"/>
          <w:sz w:val="28"/>
          <w:szCs w:val="28"/>
        </w:rPr>
      </w:pPr>
      <w:r>
        <w:rPr>
          <w:rFonts w:ascii="仿宋" w:hAnsi="仿宋" w:eastAsia="仿宋"/>
          <w:kern w:val="0"/>
          <w:sz w:val="28"/>
          <w:szCs w:val="28"/>
        </w:rPr>
        <w:t>签订协议双方：</w:t>
      </w:r>
    </w:p>
    <w:p w14:paraId="5B273232">
      <w:pPr>
        <w:widowControl/>
        <w:shd w:val="clear" w:color="auto" w:fill="FFFFFF"/>
        <w:spacing w:line="480" w:lineRule="exact"/>
        <w:ind w:firstLine="542" w:firstLineChars="200"/>
        <w:rPr>
          <w:rFonts w:ascii="仿宋" w:hAnsi="仿宋" w:eastAsia="仿宋"/>
          <w:kern w:val="0"/>
          <w:sz w:val="28"/>
          <w:szCs w:val="28"/>
        </w:rPr>
      </w:pPr>
      <w:r>
        <w:rPr>
          <w:rFonts w:ascii="仿宋" w:hAnsi="仿宋" w:eastAsia="仿宋"/>
          <w:kern w:val="0"/>
          <w:sz w:val="28"/>
          <w:szCs w:val="28"/>
        </w:rPr>
        <w:t>委托估价方：</w:t>
      </w:r>
      <w:r>
        <w:rPr>
          <w:rFonts w:hint="eastAsia" w:ascii="仿宋" w:hAnsi="仿宋" w:eastAsia="仿宋"/>
          <w:spacing w:val="-17"/>
          <w:kern w:val="0"/>
          <w:sz w:val="28"/>
          <w:szCs w:val="28"/>
          <w:u w:val="single"/>
        </w:rPr>
        <w:t xml:space="preserve"> </w:t>
      </w:r>
      <w:r>
        <w:rPr>
          <w:rFonts w:hint="eastAsia" w:ascii="仿宋" w:hAnsi="仿宋" w:eastAsia="仿宋"/>
          <w:spacing w:val="-17"/>
          <w:kern w:val="0"/>
          <w:sz w:val="28"/>
          <w:szCs w:val="28"/>
          <w:u w:val="single"/>
          <w:lang w:val="en-US" w:eastAsia="zh-CN"/>
        </w:rPr>
        <w:t xml:space="preserve">                 </w:t>
      </w:r>
      <w:r>
        <w:rPr>
          <w:rFonts w:hint="eastAsia" w:ascii="仿宋" w:hAnsi="仿宋" w:eastAsia="仿宋"/>
          <w:spacing w:val="-17"/>
          <w:kern w:val="0"/>
          <w:sz w:val="28"/>
          <w:szCs w:val="28"/>
          <w:u w:val="single"/>
        </w:rPr>
        <w:t xml:space="preserve">                </w:t>
      </w:r>
      <w:r>
        <w:rPr>
          <w:rFonts w:ascii="仿宋" w:hAnsi="仿宋" w:eastAsia="仿宋"/>
          <w:kern w:val="0"/>
          <w:sz w:val="28"/>
          <w:szCs w:val="28"/>
        </w:rPr>
        <w:t>（</w:t>
      </w:r>
      <w:r>
        <w:rPr>
          <w:rFonts w:ascii="仿宋" w:hAnsi="仿宋" w:eastAsia="仿宋"/>
          <w:spacing w:val="1"/>
          <w:w w:val="88"/>
          <w:kern w:val="0"/>
          <w:sz w:val="28"/>
          <w:szCs w:val="28"/>
          <w:fitText w:val="1485" w:id="1383603322"/>
        </w:rPr>
        <w:t>以下简称甲</w:t>
      </w:r>
      <w:r>
        <w:rPr>
          <w:rFonts w:ascii="仿宋" w:hAnsi="仿宋" w:eastAsia="仿宋"/>
          <w:spacing w:val="3"/>
          <w:w w:val="88"/>
          <w:kern w:val="0"/>
          <w:sz w:val="28"/>
          <w:szCs w:val="28"/>
          <w:fitText w:val="1485" w:id="1383603322"/>
        </w:rPr>
        <w:t>方</w:t>
      </w:r>
      <w:r>
        <w:rPr>
          <w:rFonts w:ascii="仿宋" w:hAnsi="仿宋" w:eastAsia="仿宋"/>
          <w:kern w:val="0"/>
          <w:sz w:val="28"/>
          <w:szCs w:val="28"/>
        </w:rPr>
        <w:t>）</w:t>
      </w:r>
    </w:p>
    <w:p w14:paraId="0C9E056E">
      <w:pPr>
        <w:widowControl/>
        <w:shd w:val="clear" w:color="auto" w:fill="FFFFFF"/>
        <w:spacing w:line="480" w:lineRule="exact"/>
        <w:ind w:firstLine="542" w:firstLineChars="200"/>
        <w:jc w:val="left"/>
        <w:rPr>
          <w:rFonts w:ascii="仿宋" w:hAnsi="仿宋" w:eastAsia="仿宋"/>
          <w:spacing w:val="-18"/>
          <w:kern w:val="0"/>
          <w:sz w:val="28"/>
          <w:szCs w:val="28"/>
        </w:rPr>
      </w:pPr>
      <w:r>
        <w:rPr>
          <w:rFonts w:ascii="仿宋" w:hAnsi="仿宋" w:eastAsia="仿宋"/>
          <w:kern w:val="0"/>
          <w:sz w:val="28"/>
          <w:szCs w:val="28"/>
        </w:rPr>
        <w:t>受托估价方</w:t>
      </w:r>
      <w:r>
        <w:rPr>
          <w:rFonts w:ascii="仿宋" w:hAnsi="仿宋" w:eastAsia="仿宋"/>
          <w:spacing w:val="-18"/>
          <w:kern w:val="0"/>
          <w:sz w:val="28"/>
          <w:szCs w:val="28"/>
        </w:rPr>
        <w:t>：</w:t>
      </w:r>
      <w:r>
        <w:rPr>
          <w:rFonts w:hint="eastAsia" w:ascii="仿宋" w:hAnsi="仿宋" w:eastAsia="仿宋"/>
          <w:spacing w:val="-18"/>
          <w:kern w:val="0"/>
          <w:sz w:val="28"/>
          <w:szCs w:val="28"/>
          <w:u w:val="single"/>
        </w:rPr>
        <w:t xml:space="preserve">  </w:t>
      </w:r>
      <w:r>
        <w:rPr>
          <w:rFonts w:hint="eastAsia" w:ascii="仿宋" w:hAnsi="仿宋" w:eastAsia="仿宋"/>
          <w:spacing w:val="-18"/>
          <w:kern w:val="0"/>
          <w:sz w:val="28"/>
          <w:szCs w:val="28"/>
          <w:u w:val="single"/>
          <w:lang w:val="en-US" w:eastAsia="zh-CN"/>
        </w:rPr>
        <w:t xml:space="preserve">                                  </w:t>
      </w:r>
      <w:r>
        <w:rPr>
          <w:rFonts w:ascii="仿宋" w:hAnsi="仿宋" w:eastAsia="仿宋"/>
          <w:spacing w:val="-18"/>
          <w:kern w:val="0"/>
          <w:sz w:val="28"/>
          <w:szCs w:val="28"/>
        </w:rPr>
        <w:t>（以下简称乙方）</w:t>
      </w:r>
    </w:p>
    <w:p w14:paraId="565462B0">
      <w:pPr>
        <w:widowControl/>
        <w:shd w:val="clear" w:color="auto" w:fill="FFFFFF"/>
        <w:spacing w:line="480" w:lineRule="exact"/>
        <w:ind w:firstLine="542" w:firstLineChars="200"/>
        <w:jc w:val="left"/>
        <w:rPr>
          <w:rFonts w:ascii="仿宋" w:hAnsi="仿宋" w:eastAsia="仿宋"/>
          <w:color w:val="333333"/>
          <w:kern w:val="0"/>
          <w:szCs w:val="21"/>
        </w:rPr>
      </w:pPr>
      <w:r>
        <w:rPr>
          <w:rFonts w:ascii="仿宋" w:hAnsi="仿宋" w:eastAsia="仿宋"/>
          <w:kern w:val="0"/>
          <w:sz w:val="28"/>
          <w:szCs w:val="28"/>
        </w:rPr>
        <w:t>根据《</w:t>
      </w:r>
      <w:r>
        <w:rPr>
          <w:rFonts w:hint="eastAsia" w:ascii="仿宋" w:hAnsi="仿宋" w:eastAsia="仿宋"/>
          <w:kern w:val="0"/>
          <w:sz w:val="28"/>
          <w:szCs w:val="28"/>
        </w:rPr>
        <w:t>中华人民共和国民法典</w:t>
      </w:r>
      <w:r>
        <w:rPr>
          <w:rFonts w:ascii="仿宋" w:hAnsi="仿宋" w:eastAsia="仿宋"/>
          <w:kern w:val="0"/>
          <w:sz w:val="28"/>
          <w:szCs w:val="28"/>
        </w:rPr>
        <w:t>》、《中华人民共和国土地管理法》等有关法律、法规及文件规定，甲乙双方经充分协商，兹就土地估价事宜订立本协议，内容如下：</w:t>
      </w:r>
    </w:p>
    <w:p w14:paraId="19B89EFC">
      <w:pPr>
        <w:widowControl/>
        <w:shd w:val="clear" w:color="auto" w:fill="FFFFFF"/>
        <w:spacing w:line="480" w:lineRule="exact"/>
        <w:ind w:firstLine="542" w:firstLineChars="200"/>
        <w:jc w:val="left"/>
        <w:rPr>
          <w:rFonts w:ascii="仿宋" w:hAnsi="仿宋" w:eastAsia="仿宋"/>
          <w:color w:val="333333"/>
          <w:kern w:val="0"/>
          <w:sz w:val="28"/>
          <w:szCs w:val="28"/>
        </w:rPr>
      </w:pPr>
      <w:r>
        <w:rPr>
          <w:rFonts w:hint="eastAsia" w:ascii="仿宋" w:hAnsi="仿宋" w:eastAsia="仿宋"/>
          <w:color w:val="333333"/>
          <w:kern w:val="0"/>
          <w:sz w:val="28"/>
          <w:szCs w:val="28"/>
        </w:rPr>
        <w:t>一</w:t>
      </w:r>
      <w:r>
        <w:rPr>
          <w:rFonts w:ascii="仿宋" w:hAnsi="仿宋" w:eastAsia="仿宋"/>
          <w:color w:val="333333"/>
          <w:kern w:val="0"/>
          <w:sz w:val="28"/>
          <w:szCs w:val="28"/>
        </w:rPr>
        <w:t>、</w:t>
      </w:r>
      <w:r>
        <w:rPr>
          <w:rFonts w:hint="eastAsia" w:ascii="仿宋" w:hAnsi="仿宋" w:eastAsia="仿宋"/>
          <w:color w:val="333333"/>
          <w:kern w:val="0"/>
          <w:sz w:val="28"/>
          <w:szCs w:val="28"/>
        </w:rPr>
        <w:t>委托估价的业务内容和相关要求</w:t>
      </w:r>
      <w:r>
        <w:rPr>
          <w:rFonts w:ascii="仿宋" w:hAnsi="仿宋" w:eastAsia="仿宋"/>
          <w:color w:val="333333"/>
          <w:kern w:val="0"/>
          <w:sz w:val="28"/>
          <w:szCs w:val="28"/>
        </w:rPr>
        <w:t>：</w:t>
      </w:r>
    </w:p>
    <w:p w14:paraId="01E09D26">
      <w:pPr>
        <w:widowControl/>
        <w:shd w:val="clear" w:color="auto" w:fill="FFFFFF"/>
        <w:tabs>
          <w:tab w:val="left" w:pos="500"/>
          <w:tab w:val="left" w:pos="600"/>
          <w:tab w:val="left" w:pos="700"/>
        </w:tabs>
        <w:spacing w:line="480" w:lineRule="exact"/>
        <w:ind w:firstLine="542" w:firstLineChars="200"/>
        <w:jc w:val="left"/>
        <w:rPr>
          <w:rFonts w:hint="eastAsia" w:ascii="仿宋" w:hAnsi="仿宋" w:eastAsia="仿宋"/>
          <w:kern w:val="0"/>
          <w:sz w:val="28"/>
          <w:szCs w:val="28"/>
          <w:u w:val="single"/>
        </w:rPr>
      </w:pPr>
      <w:r>
        <w:rPr>
          <w:rFonts w:hint="eastAsia" w:ascii="仿宋" w:hAnsi="仿宋" w:eastAsia="仿宋"/>
          <w:sz w:val="28"/>
          <w:szCs w:val="28"/>
        </w:rPr>
        <w:t>1、</w:t>
      </w:r>
      <w:r>
        <w:rPr>
          <w:rFonts w:ascii="仿宋" w:hAnsi="仿宋" w:eastAsia="仿宋"/>
          <w:sz w:val="28"/>
          <w:szCs w:val="28"/>
        </w:rPr>
        <w:t>估价对象：</w:t>
      </w:r>
      <w:r>
        <w:rPr>
          <w:rFonts w:hint="eastAsia" w:ascii="Calibri" w:hAnsi="Calibri" w:eastAsia="仿宋" w:cs="Calibri"/>
          <w:kern w:val="0"/>
          <w:sz w:val="28"/>
          <w:szCs w:val="28"/>
        </w:rPr>
        <w:t xml:space="preserve"> </w:t>
      </w:r>
      <w:r>
        <w:rPr>
          <w:rFonts w:hint="eastAsia" w:ascii="Calibri" w:hAnsi="Calibri" w:eastAsia="仿宋" w:cs="Calibri"/>
          <w:kern w:val="0"/>
          <w:sz w:val="28"/>
          <w:szCs w:val="28"/>
          <w:u w:val="single"/>
        </w:rPr>
        <w:t>广汉市广鑫投资发展有限公司位于广汉市</w:t>
      </w:r>
      <w:r>
        <w:rPr>
          <w:rFonts w:hint="eastAsia" w:ascii="Calibri" w:hAnsi="Calibri" w:eastAsia="仿宋" w:cs="Calibri"/>
          <w:kern w:val="0"/>
          <w:sz w:val="28"/>
          <w:szCs w:val="28"/>
          <w:u w:val="single"/>
          <w:lang w:val="en-US" w:eastAsia="zh-CN"/>
        </w:rPr>
        <w:t>新丰镇新河村</w:t>
      </w:r>
      <w:bookmarkStart w:id="0" w:name="_GoBack"/>
      <w:bookmarkEnd w:id="0"/>
      <w:r>
        <w:rPr>
          <w:rFonts w:ascii="Calibri" w:hAnsi="Calibri" w:eastAsia="仿宋" w:cs="Calibri"/>
          <w:kern w:val="0"/>
          <w:sz w:val="28"/>
          <w:szCs w:val="28"/>
          <w:u w:val="single"/>
        </w:rPr>
        <w:t>的</w:t>
      </w:r>
      <w:r>
        <w:rPr>
          <w:rFonts w:hint="eastAsia" w:ascii="Calibri" w:hAnsi="Calibri" w:eastAsia="仿宋" w:cs="Calibri"/>
          <w:kern w:val="0"/>
          <w:sz w:val="28"/>
          <w:szCs w:val="28"/>
          <w:u w:val="single"/>
          <w:lang w:val="en-US" w:eastAsia="zh-CN"/>
        </w:rPr>
        <w:t>一</w:t>
      </w:r>
      <w:r>
        <w:rPr>
          <w:rFonts w:hint="eastAsia" w:ascii="Calibri" w:hAnsi="Calibri" w:eastAsia="仿宋" w:cs="Calibri"/>
          <w:kern w:val="0"/>
          <w:sz w:val="28"/>
          <w:szCs w:val="28"/>
          <w:u w:val="single"/>
        </w:rPr>
        <w:t>宗国有建设</w:t>
      </w:r>
      <w:r>
        <w:rPr>
          <w:rFonts w:ascii="Calibri" w:hAnsi="Calibri" w:eastAsia="仿宋" w:cs="Calibri"/>
          <w:kern w:val="0"/>
          <w:sz w:val="28"/>
          <w:szCs w:val="28"/>
          <w:u w:val="single"/>
        </w:rPr>
        <w:t>用地</w:t>
      </w:r>
      <w:r>
        <w:rPr>
          <w:rFonts w:hint="eastAsia" w:ascii="Calibri" w:hAnsi="Calibri" w:eastAsia="仿宋" w:cs="Calibri"/>
          <w:kern w:val="0"/>
          <w:sz w:val="28"/>
          <w:szCs w:val="28"/>
          <w:u w:val="single"/>
        </w:rPr>
        <w:t>市场价格评估</w:t>
      </w:r>
      <w:r>
        <w:rPr>
          <w:rFonts w:hint="eastAsia" w:ascii="仿宋" w:hAnsi="仿宋" w:eastAsia="仿宋"/>
          <w:kern w:val="0"/>
          <w:sz w:val="28"/>
          <w:szCs w:val="28"/>
          <w:u w:val="single"/>
        </w:rPr>
        <w:t>，</w:t>
      </w:r>
      <w:r>
        <w:rPr>
          <w:rFonts w:ascii="仿宋" w:hAnsi="仿宋" w:eastAsia="仿宋"/>
          <w:kern w:val="0"/>
          <w:sz w:val="28"/>
          <w:szCs w:val="28"/>
          <w:u w:val="single"/>
        </w:rPr>
        <w:t>宗地</w:t>
      </w:r>
      <w:r>
        <w:rPr>
          <w:rFonts w:hint="eastAsia" w:ascii="仿宋" w:hAnsi="仿宋" w:eastAsia="仿宋"/>
          <w:kern w:val="0"/>
          <w:sz w:val="28"/>
          <w:szCs w:val="28"/>
          <w:u w:val="single"/>
        </w:rPr>
        <w:t>产权证号</w:t>
      </w:r>
      <w:r>
        <w:rPr>
          <w:rFonts w:ascii="仿宋" w:hAnsi="仿宋" w:eastAsia="仿宋"/>
          <w:kern w:val="0"/>
          <w:sz w:val="28"/>
          <w:szCs w:val="28"/>
          <w:u w:val="single"/>
        </w:rPr>
        <w:t>、宗地位置等如下表：</w:t>
      </w:r>
    </w:p>
    <w:tbl>
      <w:tblPr>
        <w:tblStyle w:val="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23"/>
        <w:gridCol w:w="1753"/>
        <w:gridCol w:w="1561"/>
        <w:gridCol w:w="1559"/>
        <w:gridCol w:w="1416"/>
        <w:gridCol w:w="2377"/>
      </w:tblGrid>
      <w:tr w14:paraId="27E502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9" w:hRule="atLeast"/>
          <w:jc w:val="center"/>
        </w:trPr>
        <w:tc>
          <w:tcPr>
            <w:tcW w:w="335" w:type="pct"/>
            <w:tcBorders>
              <w:top w:val="single" w:color="auto" w:sz="4" w:space="0"/>
              <w:left w:val="single" w:color="auto" w:sz="4" w:space="0"/>
              <w:bottom w:val="single" w:color="auto" w:sz="4" w:space="0"/>
              <w:right w:val="single" w:color="auto" w:sz="4" w:space="0"/>
            </w:tcBorders>
            <w:noWrap w:val="0"/>
            <w:vAlign w:val="center"/>
          </w:tcPr>
          <w:p w14:paraId="3799FE57">
            <w:pPr>
              <w:spacing w:line="240" w:lineRule="exact"/>
              <w:ind w:right="-74" w:rightChars="-37"/>
              <w:jc w:val="center"/>
              <w:rPr>
                <w:rFonts w:hint="eastAsia" w:ascii="仿宋" w:hAnsi="仿宋" w:eastAsia="仿宋"/>
                <w:szCs w:val="21"/>
              </w:rPr>
            </w:pPr>
            <w:r>
              <w:rPr>
                <w:rFonts w:hint="eastAsia" w:ascii="仿宋" w:hAnsi="仿宋" w:eastAsia="仿宋"/>
                <w:szCs w:val="21"/>
              </w:rPr>
              <w:t>宗地序号</w:t>
            </w:r>
          </w:p>
        </w:tc>
        <w:tc>
          <w:tcPr>
            <w:tcW w:w="943" w:type="pct"/>
            <w:tcBorders>
              <w:top w:val="single" w:color="auto" w:sz="4" w:space="0"/>
              <w:left w:val="single" w:color="auto" w:sz="4" w:space="0"/>
              <w:bottom w:val="single" w:color="auto" w:sz="4" w:space="0"/>
              <w:right w:val="single" w:color="auto" w:sz="4" w:space="0"/>
            </w:tcBorders>
            <w:noWrap w:val="0"/>
            <w:vAlign w:val="center"/>
          </w:tcPr>
          <w:p w14:paraId="04114B98">
            <w:pPr>
              <w:spacing w:line="240" w:lineRule="exact"/>
              <w:ind w:right="-74" w:rightChars="-37"/>
              <w:jc w:val="center"/>
              <w:rPr>
                <w:rFonts w:hint="eastAsia" w:ascii="仿宋" w:hAnsi="仿宋" w:eastAsia="仿宋"/>
                <w:szCs w:val="21"/>
              </w:rPr>
            </w:pPr>
            <w:r>
              <w:rPr>
                <w:rFonts w:hint="eastAsia" w:ascii="仿宋" w:hAnsi="仿宋" w:eastAsia="仿宋"/>
                <w:szCs w:val="21"/>
              </w:rPr>
              <w:t>《不动产权证书》编号</w:t>
            </w:r>
          </w:p>
        </w:tc>
        <w:tc>
          <w:tcPr>
            <w:tcW w:w="840" w:type="pct"/>
            <w:tcBorders>
              <w:top w:val="single" w:color="auto" w:sz="4" w:space="0"/>
              <w:left w:val="single" w:color="auto" w:sz="4" w:space="0"/>
              <w:bottom w:val="single" w:color="auto" w:sz="4" w:space="0"/>
              <w:right w:val="single" w:color="auto" w:sz="4" w:space="0"/>
            </w:tcBorders>
            <w:noWrap w:val="0"/>
            <w:vAlign w:val="center"/>
          </w:tcPr>
          <w:p w14:paraId="22874CAC">
            <w:pPr>
              <w:spacing w:line="240" w:lineRule="exact"/>
              <w:ind w:right="-74" w:rightChars="-37"/>
              <w:jc w:val="center"/>
              <w:rPr>
                <w:rFonts w:hint="eastAsia" w:ascii="仿宋" w:hAnsi="仿宋" w:eastAsia="仿宋"/>
                <w:szCs w:val="21"/>
              </w:rPr>
            </w:pPr>
            <w:r>
              <w:rPr>
                <w:rFonts w:hint="eastAsia" w:ascii="仿宋" w:hAnsi="仿宋" w:eastAsia="仿宋"/>
                <w:szCs w:val="21"/>
              </w:rPr>
              <w:t>宗地位置</w:t>
            </w:r>
          </w:p>
        </w:tc>
        <w:tc>
          <w:tcPr>
            <w:tcW w:w="839" w:type="pct"/>
            <w:tcBorders>
              <w:top w:val="single" w:color="auto" w:sz="4" w:space="0"/>
              <w:left w:val="single" w:color="auto" w:sz="4" w:space="0"/>
              <w:bottom w:val="single" w:color="auto" w:sz="4" w:space="0"/>
              <w:right w:val="single" w:color="auto" w:sz="4" w:space="0"/>
            </w:tcBorders>
            <w:noWrap w:val="0"/>
            <w:vAlign w:val="center"/>
          </w:tcPr>
          <w:p w14:paraId="4D8440F6">
            <w:pPr>
              <w:spacing w:line="240" w:lineRule="exact"/>
              <w:ind w:right="-74" w:rightChars="-37"/>
              <w:jc w:val="center"/>
              <w:rPr>
                <w:rFonts w:hint="eastAsia" w:ascii="仿宋" w:hAnsi="仿宋" w:eastAsia="仿宋"/>
                <w:szCs w:val="21"/>
              </w:rPr>
            </w:pPr>
            <w:r>
              <w:rPr>
                <w:rFonts w:hint="eastAsia" w:ascii="仿宋" w:hAnsi="仿宋" w:eastAsia="仿宋"/>
                <w:szCs w:val="21"/>
              </w:rPr>
              <w:t>证载</w:t>
            </w:r>
            <w:r>
              <w:rPr>
                <w:rFonts w:ascii="仿宋" w:hAnsi="仿宋" w:eastAsia="仿宋"/>
                <w:szCs w:val="21"/>
              </w:rPr>
              <w:t>用途</w:t>
            </w:r>
          </w:p>
        </w:tc>
        <w:tc>
          <w:tcPr>
            <w:tcW w:w="762" w:type="pct"/>
            <w:tcBorders>
              <w:top w:val="single" w:color="auto" w:sz="4" w:space="0"/>
              <w:left w:val="single" w:color="auto" w:sz="4" w:space="0"/>
              <w:bottom w:val="single" w:color="auto" w:sz="4" w:space="0"/>
              <w:right w:val="single" w:color="auto" w:sz="4" w:space="0"/>
            </w:tcBorders>
            <w:noWrap w:val="0"/>
            <w:vAlign w:val="center"/>
          </w:tcPr>
          <w:p w14:paraId="64D8B792">
            <w:pPr>
              <w:spacing w:line="240" w:lineRule="exact"/>
              <w:ind w:right="-74" w:rightChars="-37"/>
              <w:jc w:val="center"/>
              <w:rPr>
                <w:rFonts w:ascii="仿宋" w:hAnsi="仿宋" w:eastAsia="仿宋"/>
                <w:szCs w:val="21"/>
              </w:rPr>
            </w:pPr>
            <w:r>
              <w:rPr>
                <w:rFonts w:hint="eastAsia" w:ascii="仿宋" w:hAnsi="仿宋" w:eastAsia="仿宋"/>
                <w:szCs w:val="21"/>
              </w:rPr>
              <w:t>评估面积</w:t>
            </w:r>
          </w:p>
          <w:p w14:paraId="6B9B0E58">
            <w:pPr>
              <w:spacing w:line="240" w:lineRule="exact"/>
              <w:ind w:right="-74" w:rightChars="-37"/>
              <w:jc w:val="center"/>
              <w:rPr>
                <w:rFonts w:ascii="仿宋" w:hAnsi="仿宋" w:eastAsia="仿宋"/>
                <w:szCs w:val="21"/>
              </w:rPr>
            </w:pPr>
            <w:r>
              <w:rPr>
                <w:rFonts w:hint="eastAsia" w:ascii="仿宋" w:hAnsi="仿宋" w:eastAsia="仿宋"/>
                <w:szCs w:val="21"/>
              </w:rPr>
              <w:t>（平方米）</w:t>
            </w:r>
          </w:p>
        </w:tc>
        <w:tc>
          <w:tcPr>
            <w:tcW w:w="1279" w:type="pct"/>
            <w:tcBorders>
              <w:top w:val="single" w:color="auto" w:sz="4" w:space="0"/>
              <w:left w:val="single" w:color="auto" w:sz="4" w:space="0"/>
              <w:bottom w:val="single" w:color="auto" w:sz="4" w:space="0"/>
              <w:right w:val="single" w:color="auto" w:sz="4" w:space="0"/>
            </w:tcBorders>
            <w:noWrap w:val="0"/>
            <w:vAlign w:val="center"/>
          </w:tcPr>
          <w:p w14:paraId="0DE51FE6">
            <w:pPr>
              <w:spacing w:line="240" w:lineRule="exact"/>
              <w:ind w:right="-74" w:rightChars="-37"/>
              <w:jc w:val="center"/>
              <w:rPr>
                <w:rFonts w:ascii="仿宋" w:hAnsi="仿宋" w:eastAsia="仿宋"/>
                <w:szCs w:val="21"/>
              </w:rPr>
            </w:pPr>
            <w:r>
              <w:rPr>
                <w:rFonts w:hint="eastAsia" w:ascii="仿宋" w:hAnsi="仿宋" w:eastAsia="仿宋"/>
                <w:szCs w:val="21"/>
              </w:rPr>
              <w:t>《广汉市建设工程规划设计条件通知书》编号</w:t>
            </w:r>
          </w:p>
        </w:tc>
      </w:tr>
      <w:tr w14:paraId="73F56B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5" w:hRule="atLeast"/>
          <w:jc w:val="center"/>
        </w:trPr>
        <w:tc>
          <w:tcPr>
            <w:tcW w:w="335" w:type="pct"/>
            <w:tcBorders>
              <w:top w:val="single" w:color="auto" w:sz="4" w:space="0"/>
              <w:left w:val="single" w:color="auto" w:sz="4" w:space="0"/>
              <w:bottom w:val="single" w:color="auto" w:sz="4" w:space="0"/>
              <w:right w:val="single" w:color="auto" w:sz="4" w:space="0"/>
            </w:tcBorders>
            <w:noWrap w:val="0"/>
            <w:vAlign w:val="center"/>
          </w:tcPr>
          <w:p w14:paraId="4C6D979F">
            <w:pPr>
              <w:spacing w:line="240" w:lineRule="exact"/>
              <w:ind w:right="-74" w:rightChars="-37"/>
              <w:jc w:val="center"/>
              <w:rPr>
                <w:rFonts w:hint="eastAsia" w:ascii="仿宋" w:hAnsi="仿宋" w:eastAsia="仿宋"/>
                <w:szCs w:val="21"/>
              </w:rPr>
            </w:pPr>
            <w:r>
              <w:rPr>
                <w:rFonts w:hint="eastAsia" w:ascii="仿宋" w:hAnsi="仿宋" w:eastAsia="仿宋"/>
                <w:szCs w:val="21"/>
              </w:rPr>
              <w:t>1</w:t>
            </w:r>
          </w:p>
        </w:tc>
        <w:tc>
          <w:tcPr>
            <w:tcW w:w="943" w:type="pct"/>
            <w:tcBorders>
              <w:top w:val="single" w:color="auto" w:sz="4" w:space="0"/>
              <w:left w:val="single" w:color="auto" w:sz="4" w:space="0"/>
              <w:bottom w:val="single" w:color="auto" w:sz="4" w:space="0"/>
              <w:right w:val="single" w:color="auto" w:sz="4" w:space="0"/>
            </w:tcBorders>
            <w:noWrap w:val="0"/>
            <w:vAlign w:val="center"/>
          </w:tcPr>
          <w:p w14:paraId="71775C92">
            <w:pPr>
              <w:spacing w:line="240" w:lineRule="exact"/>
              <w:ind w:right="-74" w:rightChars="-37"/>
              <w:jc w:val="center"/>
              <w:rPr>
                <w:rFonts w:hint="eastAsia" w:ascii="仿宋" w:hAnsi="仿宋" w:eastAsia="仿宋"/>
                <w:szCs w:val="21"/>
              </w:rPr>
            </w:pPr>
            <w:r>
              <w:rPr>
                <w:rFonts w:hint="eastAsia" w:ascii="仿宋" w:hAnsi="仿宋" w:eastAsia="仿宋"/>
                <w:szCs w:val="21"/>
              </w:rPr>
              <w:t>广国用（2015）第6356</w:t>
            </w:r>
            <w:r>
              <w:rPr>
                <w:rFonts w:hint="eastAsia" w:ascii="仿宋" w:hAnsi="仿宋" w:eastAsia="仿宋"/>
                <w:szCs w:val="21"/>
                <w:lang w:val="en-US" w:eastAsia="zh-CN"/>
              </w:rPr>
              <w:t>8</w:t>
            </w:r>
            <w:r>
              <w:rPr>
                <w:rFonts w:hint="eastAsia" w:ascii="仿宋" w:hAnsi="仿宋" w:eastAsia="仿宋"/>
                <w:szCs w:val="21"/>
              </w:rPr>
              <w:t>号</w:t>
            </w:r>
          </w:p>
        </w:tc>
        <w:tc>
          <w:tcPr>
            <w:tcW w:w="840" w:type="pct"/>
            <w:tcBorders>
              <w:top w:val="single" w:color="auto" w:sz="4" w:space="0"/>
              <w:left w:val="single" w:color="auto" w:sz="4" w:space="0"/>
              <w:bottom w:val="single" w:color="auto" w:sz="4" w:space="0"/>
              <w:right w:val="single" w:color="auto" w:sz="4" w:space="0"/>
            </w:tcBorders>
            <w:noWrap w:val="0"/>
            <w:vAlign w:val="center"/>
          </w:tcPr>
          <w:p w14:paraId="68F3B16A">
            <w:pPr>
              <w:spacing w:line="240" w:lineRule="exact"/>
              <w:ind w:right="-74" w:rightChars="-37"/>
              <w:jc w:val="center"/>
              <w:rPr>
                <w:rFonts w:hint="default" w:ascii="仿宋" w:hAnsi="仿宋" w:eastAsia="仿宋"/>
                <w:szCs w:val="21"/>
                <w:lang w:val="en-US" w:eastAsia="zh-CN"/>
              </w:rPr>
            </w:pPr>
            <w:r>
              <w:rPr>
                <w:rFonts w:hint="eastAsia" w:ascii="仿宋" w:hAnsi="仿宋" w:eastAsia="仿宋"/>
                <w:szCs w:val="21"/>
              </w:rPr>
              <w:t>广汉市新丰镇</w:t>
            </w:r>
            <w:r>
              <w:rPr>
                <w:rFonts w:hint="eastAsia" w:ascii="仿宋" w:hAnsi="仿宋" w:eastAsia="仿宋"/>
                <w:szCs w:val="21"/>
                <w:lang w:val="en-US" w:eastAsia="zh-CN"/>
              </w:rPr>
              <w:t>新河村</w:t>
            </w:r>
          </w:p>
        </w:tc>
        <w:tc>
          <w:tcPr>
            <w:tcW w:w="839" w:type="pct"/>
            <w:tcBorders>
              <w:top w:val="single" w:color="auto" w:sz="4" w:space="0"/>
              <w:left w:val="single" w:color="auto" w:sz="4" w:space="0"/>
              <w:bottom w:val="single" w:color="auto" w:sz="4" w:space="0"/>
              <w:right w:val="single" w:color="auto" w:sz="4" w:space="0"/>
            </w:tcBorders>
            <w:noWrap w:val="0"/>
            <w:vAlign w:val="center"/>
          </w:tcPr>
          <w:p w14:paraId="7E34EE12">
            <w:pPr>
              <w:spacing w:line="240" w:lineRule="exact"/>
              <w:ind w:right="-74" w:rightChars="-37"/>
              <w:jc w:val="center"/>
              <w:rPr>
                <w:rFonts w:hint="eastAsia" w:ascii="仿宋" w:hAnsi="仿宋" w:eastAsia="仿宋"/>
                <w:szCs w:val="21"/>
              </w:rPr>
            </w:pPr>
            <w:r>
              <w:rPr>
                <w:rFonts w:hint="eastAsia" w:ascii="仿宋" w:hAnsi="仿宋" w:eastAsia="仿宋"/>
                <w:szCs w:val="21"/>
              </w:rPr>
              <w:t>城镇住宅用地、商服用地</w:t>
            </w:r>
          </w:p>
        </w:tc>
        <w:tc>
          <w:tcPr>
            <w:tcW w:w="762" w:type="pct"/>
            <w:tcBorders>
              <w:top w:val="single" w:color="auto" w:sz="4" w:space="0"/>
              <w:left w:val="single" w:color="auto" w:sz="4" w:space="0"/>
              <w:bottom w:val="single" w:color="auto" w:sz="4" w:space="0"/>
              <w:right w:val="single" w:color="auto" w:sz="4" w:space="0"/>
            </w:tcBorders>
            <w:noWrap w:val="0"/>
            <w:vAlign w:val="center"/>
          </w:tcPr>
          <w:p w14:paraId="2B82EA52">
            <w:pPr>
              <w:spacing w:line="240" w:lineRule="exact"/>
              <w:ind w:right="-74" w:rightChars="-37"/>
              <w:jc w:val="center"/>
              <w:rPr>
                <w:rFonts w:hint="eastAsia" w:ascii="仿宋" w:hAnsi="仿宋" w:eastAsia="仿宋"/>
                <w:szCs w:val="21"/>
              </w:rPr>
            </w:pPr>
            <w:r>
              <w:rPr>
                <w:rFonts w:hint="eastAsia" w:ascii="仿宋" w:hAnsi="仿宋" w:eastAsia="仿宋"/>
                <w:szCs w:val="21"/>
              </w:rPr>
              <w:t>117644.8</w:t>
            </w:r>
          </w:p>
        </w:tc>
        <w:tc>
          <w:tcPr>
            <w:tcW w:w="1279" w:type="pct"/>
            <w:tcBorders>
              <w:top w:val="single" w:color="auto" w:sz="4" w:space="0"/>
              <w:left w:val="single" w:color="auto" w:sz="4" w:space="0"/>
              <w:bottom w:val="single" w:color="auto" w:sz="4" w:space="0"/>
              <w:right w:val="single" w:color="auto" w:sz="4" w:space="0"/>
            </w:tcBorders>
            <w:noWrap w:val="0"/>
            <w:vAlign w:val="center"/>
          </w:tcPr>
          <w:p w14:paraId="35181EC6">
            <w:pPr>
              <w:spacing w:line="240" w:lineRule="exact"/>
              <w:ind w:right="-74" w:rightChars="-37"/>
              <w:jc w:val="center"/>
              <w:rPr>
                <w:rFonts w:hint="eastAsia" w:ascii="仿宋" w:hAnsi="仿宋" w:eastAsia="仿宋"/>
                <w:szCs w:val="21"/>
              </w:rPr>
            </w:pPr>
            <w:r>
              <w:rPr>
                <w:rFonts w:hint="eastAsia" w:ascii="仿宋" w:hAnsi="仿宋" w:eastAsia="仿宋"/>
                <w:szCs w:val="21"/>
              </w:rPr>
              <w:t>广规条〔2015〕第10号</w:t>
            </w:r>
          </w:p>
        </w:tc>
      </w:tr>
    </w:tbl>
    <w:p w14:paraId="7BB39A7D">
      <w:pPr>
        <w:widowControl/>
        <w:shd w:val="clear" w:color="auto" w:fill="FFFFFF"/>
        <w:tabs>
          <w:tab w:val="left" w:pos="500"/>
          <w:tab w:val="left" w:pos="600"/>
          <w:tab w:val="left" w:pos="700"/>
        </w:tabs>
        <w:spacing w:line="480" w:lineRule="exact"/>
        <w:ind w:firstLine="542" w:firstLineChars="200"/>
        <w:jc w:val="left"/>
        <w:rPr>
          <w:rFonts w:ascii="Calibri" w:hAnsi="Calibri" w:eastAsia="仿宋" w:cs="Calibri"/>
          <w:kern w:val="0"/>
          <w:sz w:val="28"/>
          <w:szCs w:val="28"/>
          <w:u w:val="single"/>
        </w:rPr>
      </w:pPr>
      <w:r>
        <w:rPr>
          <w:rFonts w:hint="eastAsia" w:ascii="仿宋" w:hAnsi="仿宋" w:eastAsia="仿宋"/>
          <w:sz w:val="28"/>
          <w:szCs w:val="28"/>
        </w:rPr>
        <w:t>2、</w:t>
      </w:r>
      <w:r>
        <w:rPr>
          <w:rFonts w:ascii="仿宋" w:hAnsi="仿宋" w:eastAsia="仿宋"/>
          <w:sz w:val="28"/>
          <w:szCs w:val="28"/>
        </w:rPr>
        <w:t>估价</w:t>
      </w:r>
      <w:r>
        <w:rPr>
          <w:rFonts w:hint="eastAsia" w:ascii="仿宋" w:hAnsi="仿宋" w:eastAsia="仿宋"/>
          <w:sz w:val="28"/>
          <w:szCs w:val="28"/>
        </w:rPr>
        <w:t>目的：</w:t>
      </w:r>
      <w:r>
        <w:rPr>
          <w:rFonts w:hint="eastAsia" w:ascii="Calibri" w:hAnsi="Calibri" w:eastAsia="仿宋" w:cs="Calibri"/>
          <w:kern w:val="0"/>
          <w:sz w:val="28"/>
          <w:szCs w:val="28"/>
          <w:u w:val="single"/>
        </w:rPr>
        <w:t>为委托估价方办理抵押贷款手续确定抵押贷款额度提供估价对象国有建设用地使用权价格参考。</w:t>
      </w:r>
    </w:p>
    <w:p w14:paraId="17901C88">
      <w:pPr>
        <w:widowControl/>
        <w:shd w:val="clear" w:color="auto" w:fill="FFFFFF"/>
        <w:tabs>
          <w:tab w:val="left" w:pos="500"/>
          <w:tab w:val="left" w:pos="600"/>
          <w:tab w:val="left" w:pos="700"/>
        </w:tabs>
        <w:spacing w:line="480" w:lineRule="exact"/>
        <w:ind w:firstLine="542" w:firstLineChars="200"/>
        <w:jc w:val="left"/>
        <w:rPr>
          <w:rFonts w:hint="eastAsia" w:ascii="仿宋" w:hAnsi="仿宋" w:eastAsia="仿宋"/>
          <w:kern w:val="0"/>
          <w:sz w:val="28"/>
          <w:szCs w:val="28"/>
        </w:rPr>
      </w:pPr>
      <w:r>
        <w:rPr>
          <w:rFonts w:hint="eastAsia" w:ascii="仿宋" w:hAnsi="仿宋" w:eastAsia="仿宋"/>
          <w:sz w:val="28"/>
          <w:szCs w:val="28"/>
          <w:lang w:val="en-US" w:eastAsia="zh-CN"/>
        </w:rPr>
        <w:t>3</w:t>
      </w:r>
      <w:r>
        <w:rPr>
          <w:rFonts w:hint="eastAsia" w:ascii="仿宋" w:hAnsi="仿宋" w:eastAsia="仿宋"/>
          <w:sz w:val="28"/>
          <w:szCs w:val="28"/>
        </w:rPr>
        <w:t>、出具</w:t>
      </w:r>
      <w:r>
        <w:rPr>
          <w:rFonts w:hint="eastAsia" w:ascii="仿宋" w:hAnsi="仿宋" w:eastAsia="仿宋"/>
          <w:kern w:val="0"/>
          <w:sz w:val="28"/>
          <w:szCs w:val="28"/>
        </w:rPr>
        <w:t>正式报告2份。</w:t>
      </w:r>
    </w:p>
    <w:p w14:paraId="1B02DCB2">
      <w:pPr>
        <w:widowControl/>
        <w:shd w:val="clear" w:color="auto" w:fill="FFFFFF"/>
        <w:spacing w:line="480" w:lineRule="exact"/>
        <w:ind w:firstLine="542" w:firstLineChars="200"/>
        <w:jc w:val="left"/>
        <w:rPr>
          <w:rFonts w:ascii="仿宋" w:hAnsi="仿宋" w:eastAsia="仿宋"/>
          <w:kern w:val="0"/>
          <w:sz w:val="28"/>
          <w:szCs w:val="28"/>
        </w:rPr>
      </w:pPr>
      <w:r>
        <w:rPr>
          <w:rFonts w:ascii="仿宋" w:hAnsi="仿宋" w:eastAsia="仿宋"/>
          <w:color w:val="333333"/>
          <w:kern w:val="0"/>
          <w:sz w:val="28"/>
          <w:szCs w:val="28"/>
        </w:rPr>
        <w:t>二、</w:t>
      </w:r>
      <w:r>
        <w:rPr>
          <w:rFonts w:ascii="仿宋" w:hAnsi="仿宋" w:eastAsia="仿宋"/>
          <w:kern w:val="0"/>
          <w:sz w:val="28"/>
          <w:szCs w:val="28"/>
        </w:rPr>
        <w:t>双方责任及协作事宜：</w:t>
      </w:r>
    </w:p>
    <w:p w14:paraId="6BFC4AED">
      <w:pPr>
        <w:widowControl/>
        <w:spacing w:line="480" w:lineRule="exact"/>
        <w:ind w:firstLine="542" w:firstLineChars="200"/>
        <w:jc w:val="left"/>
        <w:rPr>
          <w:rFonts w:hint="eastAsia" w:ascii="仿宋" w:hAnsi="仿宋" w:eastAsia="仿宋"/>
          <w:kern w:val="0"/>
          <w:sz w:val="28"/>
          <w:szCs w:val="28"/>
        </w:rPr>
      </w:pPr>
      <w:r>
        <w:rPr>
          <w:rFonts w:ascii="仿宋" w:hAnsi="仿宋" w:eastAsia="仿宋"/>
          <w:kern w:val="0"/>
          <w:sz w:val="28"/>
          <w:szCs w:val="28"/>
        </w:rPr>
        <w:t>1、</w:t>
      </w:r>
      <w:r>
        <w:rPr>
          <w:rFonts w:hint="eastAsia" w:ascii="仿宋" w:hAnsi="仿宋" w:eastAsia="仿宋"/>
          <w:kern w:val="0"/>
          <w:sz w:val="28"/>
          <w:szCs w:val="28"/>
        </w:rPr>
        <w:t>甲方负责提供与估价对象有关的批准文件、规划文件、产权资料等基础资料；配合乙方申请有关部门、单位或个人提供查核、审阅估价所必需的资料。甲方应提交给乙方的资料包括但不限于《国有土地使用证》、《国有建设用地使用权出让合同》、《规划设计条件通知书》、营业执照、事业单位法人证书、估价委托书等（如有其它特殊情况，另外补充相应的资料）。如因甲方提供的资料不真实、不完整而导致估价结果失实，乙方不承担任何责任。</w:t>
      </w:r>
    </w:p>
    <w:p w14:paraId="02A0FCEE">
      <w:pPr>
        <w:spacing w:line="480" w:lineRule="exact"/>
        <w:ind w:firstLine="520" w:firstLineChars="192"/>
        <w:rPr>
          <w:rFonts w:ascii="仿宋" w:hAnsi="仿宋" w:eastAsia="仿宋"/>
          <w:kern w:val="0"/>
          <w:sz w:val="28"/>
          <w:szCs w:val="28"/>
        </w:rPr>
      </w:pPr>
      <w:r>
        <w:rPr>
          <w:rFonts w:hint="eastAsia" w:ascii="仿宋" w:hAnsi="仿宋" w:eastAsia="仿宋"/>
          <w:kern w:val="0"/>
          <w:sz w:val="28"/>
          <w:szCs w:val="28"/>
        </w:rPr>
        <w:t>2、甲方组织乙方在估价期间到现场进行查勘，并提供方便和配合。</w:t>
      </w:r>
    </w:p>
    <w:p w14:paraId="10201F4B">
      <w:pPr>
        <w:spacing w:line="480" w:lineRule="exact"/>
        <w:ind w:firstLine="520" w:firstLineChars="192"/>
        <w:rPr>
          <w:rFonts w:ascii="仿宋" w:hAnsi="仿宋" w:eastAsia="仿宋"/>
          <w:b/>
          <w:color w:val="FF0000"/>
          <w:kern w:val="0"/>
          <w:sz w:val="28"/>
          <w:szCs w:val="28"/>
        </w:rPr>
      </w:pPr>
    </w:p>
    <w:p w14:paraId="0C902122">
      <w:pPr>
        <w:widowControl/>
        <w:numPr>
          <w:ilvl w:val="0"/>
          <w:numId w:val="0"/>
        </w:numPr>
        <w:spacing w:line="480" w:lineRule="exact"/>
        <w:ind w:firstLine="542" w:firstLineChars="200"/>
        <w:jc w:val="left"/>
        <w:rPr>
          <w:rFonts w:ascii="仿宋" w:hAnsi="仿宋" w:eastAsia="仿宋"/>
          <w:kern w:val="0"/>
          <w:sz w:val="28"/>
          <w:szCs w:val="28"/>
        </w:rPr>
      </w:pPr>
      <w:r>
        <w:rPr>
          <w:rFonts w:hint="eastAsia" w:ascii="仿宋" w:hAnsi="仿宋" w:eastAsia="仿宋"/>
          <w:kern w:val="0"/>
          <w:sz w:val="28"/>
          <w:szCs w:val="28"/>
          <w:lang w:val="en-US" w:eastAsia="zh-CN"/>
        </w:rPr>
        <w:t>3、</w:t>
      </w:r>
      <w:r>
        <w:rPr>
          <w:rFonts w:ascii="仿宋" w:hAnsi="仿宋" w:eastAsia="仿宋"/>
          <w:kern w:val="0"/>
          <w:sz w:val="28"/>
          <w:szCs w:val="28"/>
        </w:rPr>
        <w:t>乙方</w:t>
      </w:r>
      <w:r>
        <w:rPr>
          <w:rFonts w:hint="eastAsia" w:ascii="仿宋" w:hAnsi="仿宋" w:eastAsia="仿宋"/>
          <w:kern w:val="0"/>
          <w:sz w:val="28"/>
          <w:szCs w:val="28"/>
        </w:rPr>
        <w:t>按时出具土地估价报告交付甲方，并</w:t>
      </w:r>
      <w:r>
        <w:rPr>
          <w:rFonts w:ascii="仿宋" w:hAnsi="仿宋" w:eastAsia="仿宋"/>
          <w:kern w:val="0"/>
          <w:sz w:val="28"/>
          <w:szCs w:val="28"/>
        </w:rPr>
        <w:t>有义务为甲方就评估报告的有关问题提供咨询服务。</w:t>
      </w:r>
    </w:p>
    <w:p w14:paraId="63396A5C">
      <w:pPr>
        <w:widowControl/>
        <w:spacing w:line="480" w:lineRule="exact"/>
        <w:ind w:firstLine="542" w:firstLineChars="200"/>
        <w:jc w:val="left"/>
        <w:rPr>
          <w:rFonts w:ascii="仿宋" w:hAnsi="仿宋" w:eastAsia="仿宋"/>
          <w:kern w:val="0"/>
          <w:sz w:val="28"/>
          <w:szCs w:val="28"/>
        </w:rPr>
      </w:pPr>
      <w:r>
        <w:rPr>
          <w:rFonts w:hint="eastAsia" w:ascii="仿宋" w:hAnsi="仿宋" w:eastAsia="仿宋"/>
          <w:kern w:val="0"/>
          <w:sz w:val="28"/>
          <w:szCs w:val="28"/>
          <w:lang w:val="en-US" w:eastAsia="zh-CN"/>
        </w:rPr>
        <w:t>4</w:t>
      </w:r>
      <w:r>
        <w:rPr>
          <w:rFonts w:ascii="仿宋" w:hAnsi="仿宋" w:eastAsia="仿宋"/>
          <w:kern w:val="0"/>
          <w:sz w:val="28"/>
          <w:szCs w:val="28"/>
        </w:rPr>
        <w:t>、乙方对甲方委托评估所提供的文件资料应妥善保管，并尽保密义务，</w:t>
      </w:r>
      <w:r>
        <w:rPr>
          <w:rFonts w:hint="eastAsia" w:ascii="仿宋" w:hAnsi="仿宋" w:eastAsia="仿宋"/>
          <w:kern w:val="0"/>
          <w:sz w:val="28"/>
          <w:szCs w:val="28"/>
        </w:rPr>
        <w:t>未经甲方同意不得擅自公开或泄露给他人，提供专业帮助和专业意见机构除外。</w:t>
      </w:r>
    </w:p>
    <w:p w14:paraId="065B4B6D">
      <w:pPr>
        <w:spacing w:line="480" w:lineRule="exact"/>
        <w:ind w:firstLine="520" w:firstLineChars="192"/>
        <w:rPr>
          <w:rFonts w:ascii="仿宋" w:hAnsi="仿宋" w:eastAsia="仿宋"/>
          <w:b w:val="0"/>
          <w:bCs/>
          <w:color w:val="auto"/>
          <w:kern w:val="0"/>
          <w:sz w:val="28"/>
          <w:szCs w:val="28"/>
        </w:rPr>
      </w:pPr>
      <w:r>
        <w:rPr>
          <w:rFonts w:hint="eastAsia" w:ascii="仿宋" w:hAnsi="仿宋" w:eastAsia="仿宋"/>
          <w:b w:val="0"/>
          <w:bCs/>
          <w:color w:val="auto"/>
          <w:kern w:val="0"/>
          <w:sz w:val="28"/>
          <w:szCs w:val="28"/>
          <w:lang w:eastAsia="zh-CN"/>
        </w:rPr>
        <w:t>三</w:t>
      </w:r>
      <w:r>
        <w:rPr>
          <w:rFonts w:hint="eastAsia" w:ascii="仿宋" w:hAnsi="仿宋" w:eastAsia="仿宋"/>
          <w:b w:val="0"/>
          <w:bCs/>
          <w:color w:val="auto"/>
          <w:kern w:val="0"/>
          <w:sz w:val="28"/>
          <w:szCs w:val="28"/>
        </w:rPr>
        <w:t>、收费方式及标准</w:t>
      </w:r>
    </w:p>
    <w:p w14:paraId="0B3F0F6F">
      <w:pPr>
        <w:spacing w:line="480" w:lineRule="exact"/>
        <w:ind w:firstLine="520" w:firstLineChars="192"/>
        <w:rPr>
          <w:rFonts w:ascii="仿宋" w:hAnsi="仿宋" w:eastAsia="仿宋"/>
          <w:b w:val="0"/>
          <w:bCs/>
          <w:color w:val="auto"/>
          <w:kern w:val="0"/>
          <w:sz w:val="28"/>
          <w:szCs w:val="28"/>
        </w:rPr>
      </w:pPr>
      <w:r>
        <w:rPr>
          <w:rFonts w:hint="eastAsia" w:ascii="仿宋" w:hAnsi="仿宋" w:eastAsia="仿宋"/>
          <w:b w:val="0"/>
          <w:bCs/>
          <w:color w:val="auto"/>
          <w:kern w:val="0"/>
          <w:sz w:val="28"/>
          <w:szCs w:val="28"/>
        </w:rPr>
        <w:t>经甲、乙双方友好协商，此次评估收费含税总额为人民币</w:t>
      </w:r>
      <w:r>
        <w:rPr>
          <w:rFonts w:hint="eastAsia" w:ascii="仿宋" w:hAnsi="仿宋" w:eastAsia="仿宋"/>
          <w:b w:val="0"/>
          <w:bCs/>
          <w:color w:val="auto"/>
          <w:kern w:val="0"/>
          <w:sz w:val="28"/>
          <w:szCs w:val="28"/>
          <w:u w:val="single"/>
          <w:lang w:val="en-US" w:eastAsia="zh-CN"/>
        </w:rPr>
        <w:t xml:space="preserve">           </w:t>
      </w:r>
      <w:r>
        <w:rPr>
          <w:rFonts w:hint="eastAsia" w:ascii="仿宋" w:hAnsi="仿宋" w:eastAsia="仿宋"/>
          <w:b w:val="0"/>
          <w:bCs/>
          <w:color w:val="auto"/>
          <w:kern w:val="0"/>
          <w:sz w:val="28"/>
          <w:szCs w:val="28"/>
        </w:rPr>
        <w:t>（小写：元）。</w:t>
      </w:r>
      <w:r>
        <w:rPr>
          <w:rFonts w:hint="eastAsia" w:ascii="仿宋" w:hAnsi="仿宋" w:eastAsia="仿宋"/>
          <w:b w:val="0"/>
          <w:bCs/>
          <w:color w:val="auto"/>
          <w:kern w:val="0"/>
          <w:sz w:val="28"/>
          <w:szCs w:val="28"/>
          <w:lang w:val="en-US" w:eastAsia="zh-CN"/>
        </w:rPr>
        <w:t>双方签订合同并且乙方出具甲方认可的评估报告后</w:t>
      </w:r>
      <w:r>
        <w:rPr>
          <w:rFonts w:hint="eastAsia" w:ascii="仿宋" w:hAnsi="仿宋" w:eastAsia="仿宋"/>
          <w:b w:val="0"/>
          <w:bCs/>
          <w:color w:val="auto"/>
          <w:kern w:val="0"/>
          <w:sz w:val="28"/>
          <w:szCs w:val="28"/>
          <w:lang w:eastAsia="zh-CN"/>
        </w:rPr>
        <w:t>一次性</w:t>
      </w:r>
      <w:r>
        <w:rPr>
          <w:rFonts w:hint="eastAsia" w:ascii="仿宋" w:hAnsi="仿宋" w:eastAsia="仿宋"/>
          <w:b w:val="0"/>
          <w:bCs/>
          <w:color w:val="auto"/>
          <w:kern w:val="0"/>
          <w:sz w:val="28"/>
          <w:szCs w:val="28"/>
        </w:rPr>
        <w:t>支付</w:t>
      </w:r>
      <w:r>
        <w:rPr>
          <w:rFonts w:hint="eastAsia" w:ascii="仿宋" w:hAnsi="仿宋" w:eastAsia="仿宋"/>
          <w:b w:val="0"/>
          <w:bCs/>
          <w:color w:val="auto"/>
          <w:kern w:val="0"/>
          <w:sz w:val="28"/>
          <w:szCs w:val="28"/>
          <w:lang w:eastAsia="zh-CN"/>
        </w:rPr>
        <w:t>（</w:t>
      </w:r>
      <w:r>
        <w:rPr>
          <w:rFonts w:hint="eastAsia" w:ascii="仿宋" w:hAnsi="仿宋" w:eastAsia="仿宋"/>
          <w:b w:val="0"/>
          <w:bCs/>
          <w:color w:val="auto"/>
          <w:kern w:val="0"/>
          <w:sz w:val="28"/>
          <w:szCs w:val="28"/>
          <w:lang w:val="en-US" w:eastAsia="zh-CN"/>
        </w:rPr>
        <w:t>甲方付款前，乙方需开具等额、合法有效的增值税专用发票，否则甲方有权拒绝支付，且不承担延迟履行的法律责任</w:t>
      </w:r>
      <w:r>
        <w:rPr>
          <w:rFonts w:hint="eastAsia" w:ascii="仿宋" w:hAnsi="仿宋" w:eastAsia="仿宋"/>
          <w:b w:val="0"/>
          <w:bCs/>
          <w:color w:val="auto"/>
          <w:kern w:val="0"/>
          <w:sz w:val="28"/>
          <w:szCs w:val="28"/>
          <w:lang w:eastAsia="zh-CN"/>
        </w:rPr>
        <w:t>）</w:t>
      </w:r>
      <w:r>
        <w:rPr>
          <w:rFonts w:hint="eastAsia" w:ascii="仿宋" w:hAnsi="仿宋" w:eastAsia="仿宋"/>
          <w:b w:val="0"/>
          <w:bCs/>
          <w:color w:val="auto"/>
          <w:kern w:val="0"/>
          <w:sz w:val="28"/>
          <w:szCs w:val="28"/>
        </w:rPr>
        <w:t>。</w:t>
      </w:r>
    </w:p>
    <w:p w14:paraId="6282D190">
      <w:pPr>
        <w:spacing w:line="480" w:lineRule="exact"/>
        <w:ind w:firstLine="520" w:firstLineChars="192"/>
        <w:rPr>
          <w:rFonts w:ascii="仿宋" w:hAnsi="仿宋" w:eastAsia="仿宋"/>
          <w:b w:val="0"/>
          <w:bCs/>
          <w:color w:val="auto"/>
          <w:kern w:val="0"/>
          <w:sz w:val="28"/>
          <w:szCs w:val="28"/>
        </w:rPr>
      </w:pPr>
      <w:r>
        <w:rPr>
          <w:rFonts w:hint="eastAsia" w:ascii="仿宋" w:hAnsi="仿宋" w:eastAsia="仿宋"/>
          <w:b w:val="0"/>
          <w:bCs/>
          <w:color w:val="auto"/>
          <w:kern w:val="0"/>
          <w:sz w:val="28"/>
          <w:szCs w:val="28"/>
          <w:lang w:val="en-US" w:eastAsia="zh-CN"/>
        </w:rPr>
        <w:t>1</w:t>
      </w:r>
      <w:r>
        <w:rPr>
          <w:rFonts w:hint="eastAsia" w:ascii="仿宋" w:hAnsi="仿宋" w:eastAsia="仿宋"/>
          <w:b w:val="0"/>
          <w:bCs/>
          <w:color w:val="auto"/>
          <w:kern w:val="0"/>
          <w:sz w:val="28"/>
          <w:szCs w:val="28"/>
        </w:rPr>
        <w:t>、本报价为含税价。</w:t>
      </w:r>
    </w:p>
    <w:p w14:paraId="5A3E3008">
      <w:pPr>
        <w:spacing w:line="480" w:lineRule="exact"/>
        <w:ind w:firstLine="520" w:firstLineChars="192"/>
        <w:rPr>
          <w:rFonts w:ascii="仿宋" w:hAnsi="仿宋" w:eastAsia="仿宋"/>
          <w:b w:val="0"/>
          <w:bCs/>
          <w:color w:val="auto"/>
          <w:kern w:val="0"/>
          <w:sz w:val="28"/>
          <w:szCs w:val="28"/>
        </w:rPr>
      </w:pPr>
      <w:r>
        <w:rPr>
          <w:rFonts w:hint="eastAsia" w:ascii="仿宋" w:hAnsi="仿宋" w:eastAsia="仿宋"/>
          <w:b w:val="0"/>
          <w:bCs/>
          <w:color w:val="auto"/>
          <w:kern w:val="0"/>
          <w:sz w:val="28"/>
          <w:szCs w:val="28"/>
          <w:lang w:val="en-US" w:eastAsia="zh-CN"/>
        </w:rPr>
        <w:t>2</w:t>
      </w:r>
      <w:r>
        <w:rPr>
          <w:rFonts w:hint="eastAsia" w:ascii="仿宋" w:hAnsi="仿宋" w:eastAsia="仿宋"/>
          <w:b w:val="0"/>
          <w:bCs/>
          <w:color w:val="auto"/>
          <w:kern w:val="0"/>
          <w:sz w:val="28"/>
          <w:szCs w:val="28"/>
        </w:rPr>
        <w:t>、本次项目所产生的差旅、食宿等一切费由【</w:t>
      </w:r>
      <w:r>
        <w:rPr>
          <w:rFonts w:hint="eastAsia" w:ascii="仿宋" w:hAnsi="仿宋" w:eastAsia="仿宋"/>
          <w:b w:val="0"/>
          <w:bCs/>
          <w:color w:val="auto"/>
          <w:kern w:val="0"/>
          <w:sz w:val="28"/>
          <w:szCs w:val="28"/>
          <w:lang w:val="en-US" w:eastAsia="zh-CN"/>
        </w:rPr>
        <w:t>乙</w:t>
      </w:r>
      <w:r>
        <w:rPr>
          <w:rFonts w:hint="eastAsia" w:ascii="仿宋" w:hAnsi="仿宋" w:eastAsia="仿宋"/>
          <w:b w:val="0"/>
          <w:bCs/>
          <w:color w:val="auto"/>
          <w:kern w:val="0"/>
          <w:sz w:val="28"/>
          <w:szCs w:val="28"/>
        </w:rPr>
        <w:t>】方承担。</w:t>
      </w:r>
    </w:p>
    <w:p w14:paraId="3EA017E8">
      <w:pPr>
        <w:spacing w:line="480" w:lineRule="exact"/>
        <w:ind w:firstLine="520" w:firstLineChars="192"/>
        <w:rPr>
          <w:rFonts w:ascii="仿宋" w:hAnsi="仿宋" w:eastAsia="仿宋"/>
          <w:b w:val="0"/>
          <w:bCs/>
          <w:color w:val="auto"/>
          <w:kern w:val="0"/>
          <w:sz w:val="28"/>
          <w:szCs w:val="28"/>
        </w:rPr>
      </w:pPr>
      <w:r>
        <w:rPr>
          <w:rFonts w:hint="eastAsia" w:ascii="仿宋" w:hAnsi="仿宋" w:eastAsia="仿宋"/>
          <w:b w:val="0"/>
          <w:bCs/>
          <w:color w:val="auto"/>
          <w:kern w:val="0"/>
          <w:sz w:val="28"/>
          <w:szCs w:val="28"/>
          <w:lang w:val="en-US" w:eastAsia="zh-CN"/>
        </w:rPr>
        <w:t>3</w:t>
      </w:r>
      <w:r>
        <w:rPr>
          <w:rFonts w:hint="eastAsia" w:ascii="仿宋" w:hAnsi="仿宋" w:eastAsia="仿宋"/>
          <w:b w:val="0"/>
          <w:bCs/>
          <w:color w:val="auto"/>
          <w:kern w:val="0"/>
          <w:sz w:val="28"/>
          <w:szCs w:val="28"/>
        </w:rPr>
        <w:t>、前述评估服务费用由甲方通过银行汇款、支票等方式支付给乙方指定的如下账户：</w:t>
      </w:r>
    </w:p>
    <w:p w14:paraId="04564461">
      <w:pPr>
        <w:spacing w:line="480" w:lineRule="exact"/>
        <w:ind w:firstLine="520" w:firstLineChars="192"/>
        <w:rPr>
          <w:rFonts w:ascii="仿宋" w:hAnsi="仿宋" w:eastAsia="仿宋"/>
          <w:b w:val="0"/>
          <w:bCs/>
          <w:color w:val="auto"/>
          <w:kern w:val="0"/>
          <w:sz w:val="28"/>
          <w:szCs w:val="28"/>
        </w:rPr>
      </w:pPr>
      <w:r>
        <w:rPr>
          <w:rFonts w:hint="eastAsia" w:ascii="仿宋" w:hAnsi="仿宋" w:eastAsia="仿宋"/>
          <w:b w:val="0"/>
          <w:bCs/>
          <w:color w:val="auto"/>
          <w:kern w:val="0"/>
          <w:sz w:val="28"/>
          <w:szCs w:val="28"/>
        </w:rPr>
        <w:t>开户名称：</w:t>
      </w:r>
    </w:p>
    <w:p w14:paraId="0231AAA8">
      <w:pPr>
        <w:spacing w:line="480" w:lineRule="exact"/>
        <w:ind w:firstLine="520" w:firstLineChars="192"/>
        <w:rPr>
          <w:rFonts w:ascii="仿宋" w:hAnsi="仿宋" w:eastAsia="仿宋"/>
          <w:b w:val="0"/>
          <w:bCs/>
          <w:color w:val="auto"/>
          <w:kern w:val="0"/>
          <w:sz w:val="28"/>
          <w:szCs w:val="28"/>
        </w:rPr>
      </w:pPr>
      <w:r>
        <w:rPr>
          <w:rFonts w:hint="eastAsia" w:ascii="仿宋" w:hAnsi="仿宋" w:eastAsia="仿宋"/>
          <w:b w:val="0"/>
          <w:bCs/>
          <w:color w:val="auto"/>
          <w:kern w:val="0"/>
          <w:sz w:val="28"/>
          <w:szCs w:val="28"/>
        </w:rPr>
        <w:t>银行账号：</w:t>
      </w:r>
    </w:p>
    <w:p w14:paraId="3B2DC6B1">
      <w:pPr>
        <w:spacing w:line="480" w:lineRule="exact"/>
        <w:ind w:firstLine="520" w:firstLineChars="192"/>
        <w:rPr>
          <w:rFonts w:ascii="仿宋" w:hAnsi="仿宋" w:eastAsia="仿宋"/>
          <w:b w:val="0"/>
          <w:bCs/>
          <w:color w:val="auto"/>
          <w:kern w:val="0"/>
          <w:sz w:val="28"/>
          <w:szCs w:val="28"/>
        </w:rPr>
      </w:pPr>
      <w:r>
        <w:rPr>
          <w:rFonts w:hint="eastAsia" w:ascii="仿宋" w:hAnsi="仿宋" w:eastAsia="仿宋"/>
          <w:b w:val="0"/>
          <w:bCs/>
          <w:color w:val="auto"/>
          <w:kern w:val="0"/>
          <w:sz w:val="28"/>
          <w:szCs w:val="28"/>
        </w:rPr>
        <w:t>开户银行：</w:t>
      </w:r>
    </w:p>
    <w:p w14:paraId="006CD01D">
      <w:pPr>
        <w:spacing w:line="480" w:lineRule="exact"/>
        <w:ind w:firstLine="520" w:firstLineChars="192"/>
        <w:rPr>
          <w:rFonts w:hint="eastAsia" w:ascii="仿宋" w:hAnsi="仿宋" w:eastAsia="仿宋"/>
          <w:b w:val="0"/>
          <w:bCs/>
          <w:color w:val="auto"/>
          <w:kern w:val="0"/>
          <w:sz w:val="28"/>
          <w:szCs w:val="28"/>
        </w:rPr>
      </w:pPr>
      <w:r>
        <w:rPr>
          <w:rFonts w:hint="eastAsia" w:ascii="仿宋" w:hAnsi="仿宋" w:eastAsia="仿宋"/>
          <w:b w:val="0"/>
          <w:bCs/>
          <w:color w:val="auto"/>
          <w:kern w:val="0"/>
          <w:sz w:val="28"/>
          <w:szCs w:val="28"/>
        </w:rPr>
        <w:t>统一社会信用代码:</w:t>
      </w:r>
    </w:p>
    <w:p w14:paraId="5EDB7E7F">
      <w:pPr>
        <w:snapToGrid w:val="0"/>
        <w:spacing w:line="520" w:lineRule="atLeast"/>
        <w:ind w:firstLine="420"/>
        <w:rPr>
          <w:rFonts w:hint="eastAsia" w:ascii="仿宋" w:hAnsi="仿宋" w:eastAsia="仿宋" w:cs="仿宋"/>
          <w:b w:val="0"/>
          <w:bCs/>
          <w:sz w:val="28"/>
          <w:szCs w:val="28"/>
        </w:rPr>
      </w:pPr>
      <w:r>
        <w:rPr>
          <w:rFonts w:hint="eastAsia" w:ascii="仿宋" w:hAnsi="仿宋" w:eastAsia="仿宋" w:cs="仿宋"/>
          <w:b w:val="0"/>
          <w:bCs/>
          <w:sz w:val="28"/>
          <w:szCs w:val="28"/>
          <w:lang w:eastAsia="zh-CN"/>
        </w:rPr>
        <w:t>四</w:t>
      </w:r>
      <w:r>
        <w:rPr>
          <w:rFonts w:hint="eastAsia" w:ascii="仿宋" w:hAnsi="仿宋" w:eastAsia="仿宋" w:cs="仿宋"/>
          <w:b w:val="0"/>
          <w:bCs/>
          <w:sz w:val="28"/>
          <w:szCs w:val="28"/>
        </w:rPr>
        <w:t>、评估报告的使用范围</w:t>
      </w:r>
    </w:p>
    <w:p w14:paraId="3DCB2A6C">
      <w:pPr>
        <w:snapToGrid w:val="0"/>
        <w:spacing w:line="520" w:lineRule="atLeast"/>
        <w:ind w:firstLine="420"/>
        <w:rPr>
          <w:rFonts w:hint="eastAsia" w:ascii="仿宋" w:hAnsi="仿宋" w:eastAsia="仿宋" w:cs="仿宋"/>
          <w:sz w:val="28"/>
          <w:szCs w:val="28"/>
        </w:rPr>
      </w:pPr>
      <w:r>
        <w:rPr>
          <w:rFonts w:hint="eastAsia" w:ascii="仿宋" w:hAnsi="仿宋" w:eastAsia="仿宋" w:cs="仿宋"/>
          <w:sz w:val="28"/>
          <w:szCs w:val="28"/>
        </w:rPr>
        <w:t>评估报告使用范围包括评估报告使用人、用途、估值结论的使用有效期及评估报告的摘抄、引用或者披露。</w:t>
      </w:r>
    </w:p>
    <w:p w14:paraId="4D6EF4A8">
      <w:pPr>
        <w:snapToGrid w:val="0"/>
        <w:spacing w:line="520" w:lineRule="atLeast"/>
        <w:ind w:firstLine="420"/>
        <w:rPr>
          <w:rFonts w:hint="eastAsia" w:ascii="仿宋" w:hAnsi="仿宋" w:eastAsia="仿宋" w:cs="仿宋"/>
          <w:sz w:val="28"/>
          <w:szCs w:val="28"/>
        </w:rPr>
      </w:pPr>
      <w:r>
        <w:rPr>
          <w:rFonts w:hint="eastAsia" w:ascii="仿宋" w:hAnsi="仿宋" w:eastAsia="仿宋" w:cs="仿宋"/>
          <w:sz w:val="28"/>
          <w:szCs w:val="28"/>
        </w:rPr>
        <w:t>1、评估报告仅供评估委托合同约定的和法律、行政法规规定的使用人使用，其他任何机构和个人不能成为评估报告的使用人。</w:t>
      </w:r>
    </w:p>
    <w:p w14:paraId="417AAF85">
      <w:pPr>
        <w:snapToGrid w:val="0"/>
        <w:spacing w:line="520" w:lineRule="atLeast"/>
        <w:ind w:firstLine="420"/>
        <w:rPr>
          <w:rFonts w:hint="eastAsia" w:ascii="仿宋" w:hAnsi="仿宋" w:eastAsia="仿宋" w:cs="仿宋"/>
          <w:sz w:val="28"/>
          <w:szCs w:val="28"/>
        </w:rPr>
      </w:pPr>
      <w:r>
        <w:rPr>
          <w:rFonts w:hint="eastAsia" w:ascii="仿宋" w:hAnsi="仿宋" w:eastAsia="仿宋" w:cs="仿宋"/>
          <w:sz w:val="28"/>
          <w:szCs w:val="28"/>
        </w:rPr>
        <w:t>2、委托人或者其他评估报告使用人应当按照法律、行政法规规定和评估报告载明的使用目的及用途使用评估报告。</w:t>
      </w:r>
    </w:p>
    <w:p w14:paraId="3EFF6D92">
      <w:pPr>
        <w:snapToGrid w:val="0"/>
        <w:spacing w:line="520" w:lineRule="atLeast"/>
        <w:ind w:firstLine="420"/>
        <w:rPr>
          <w:rFonts w:hint="eastAsia" w:ascii="仿宋" w:hAnsi="仿宋" w:eastAsia="仿宋" w:cs="仿宋"/>
          <w:sz w:val="28"/>
          <w:szCs w:val="28"/>
        </w:rPr>
      </w:pPr>
      <w:r>
        <w:rPr>
          <w:rFonts w:hint="eastAsia" w:ascii="仿宋" w:hAnsi="仿宋" w:eastAsia="仿宋" w:cs="仿宋"/>
          <w:sz w:val="28"/>
          <w:szCs w:val="28"/>
        </w:rPr>
        <w:t>委托人或者其他评估报告使用人违反前述约定使用评估报告的，评估机构及其资产估值专业人员不承担责任。</w:t>
      </w:r>
    </w:p>
    <w:p w14:paraId="610AD1C7">
      <w:pPr>
        <w:numPr>
          <w:ilvl w:val="0"/>
          <w:numId w:val="1"/>
        </w:numPr>
        <w:snapToGrid w:val="0"/>
        <w:spacing w:line="520" w:lineRule="atLeast"/>
        <w:ind w:firstLine="420"/>
        <w:rPr>
          <w:rFonts w:hint="eastAsia" w:ascii="仿宋" w:hAnsi="仿宋" w:eastAsia="仿宋" w:cs="仿宋"/>
          <w:sz w:val="28"/>
          <w:szCs w:val="28"/>
        </w:rPr>
      </w:pPr>
      <w:r>
        <w:rPr>
          <w:rFonts w:hint="eastAsia" w:ascii="仿宋" w:hAnsi="仿宋" w:eastAsia="仿宋" w:cs="仿宋"/>
          <w:sz w:val="28"/>
          <w:szCs w:val="28"/>
        </w:rPr>
        <w:t>委托人应在评估报告载明的估值结论使用有效期内使用评估报告。</w:t>
      </w:r>
    </w:p>
    <w:p w14:paraId="2E0D4A0B">
      <w:pPr>
        <w:snapToGrid w:val="0"/>
        <w:spacing w:line="520" w:lineRule="atLeast"/>
        <w:ind w:firstLine="420"/>
        <w:rPr>
          <w:rFonts w:hint="eastAsia" w:ascii="仿宋" w:hAnsi="仿宋" w:eastAsia="仿宋" w:cs="仿宋"/>
          <w:sz w:val="28"/>
          <w:szCs w:val="28"/>
        </w:rPr>
      </w:pPr>
      <w:r>
        <w:rPr>
          <w:rFonts w:hint="eastAsia" w:ascii="仿宋" w:hAnsi="仿宋" w:eastAsia="仿宋" w:cs="仿宋"/>
          <w:sz w:val="28"/>
          <w:szCs w:val="28"/>
        </w:rPr>
        <w:t>4、未经委托人书面许可，评估机构及其估值专业人员不得将评估报告的内容向第三方提供或者公开，法律、行政法规另有规定的除外。</w:t>
      </w:r>
    </w:p>
    <w:p w14:paraId="4056C531">
      <w:pPr>
        <w:spacing w:line="480" w:lineRule="exact"/>
        <w:ind w:firstLine="520" w:firstLineChars="192"/>
        <w:rPr>
          <w:rFonts w:hint="eastAsia" w:ascii="仿宋" w:hAnsi="仿宋" w:eastAsia="仿宋"/>
          <w:b/>
          <w:color w:val="FF0000"/>
          <w:kern w:val="0"/>
          <w:sz w:val="28"/>
          <w:szCs w:val="28"/>
        </w:rPr>
      </w:pPr>
      <w:r>
        <w:rPr>
          <w:rFonts w:hint="eastAsia" w:ascii="仿宋" w:hAnsi="仿宋" w:eastAsia="仿宋" w:cs="仿宋"/>
          <w:sz w:val="28"/>
          <w:szCs w:val="28"/>
        </w:rPr>
        <w:t>5、未征得评估机构同意，评估报告的内容不得被摘抄、引用或者披露于公开媒体，法律、行政法规规定以及相关当事人另有约定的除外。</w:t>
      </w:r>
    </w:p>
    <w:p w14:paraId="53A96C4F">
      <w:pPr>
        <w:widowControl/>
        <w:spacing w:line="480" w:lineRule="exact"/>
        <w:ind w:firstLine="542" w:firstLineChars="200"/>
        <w:jc w:val="left"/>
        <w:rPr>
          <w:rFonts w:ascii="仿宋" w:hAnsi="仿宋" w:eastAsia="仿宋"/>
          <w:kern w:val="0"/>
          <w:sz w:val="28"/>
          <w:szCs w:val="28"/>
        </w:rPr>
      </w:pPr>
      <w:r>
        <w:rPr>
          <w:rFonts w:hint="eastAsia" w:ascii="仿宋" w:hAnsi="仿宋" w:eastAsia="仿宋"/>
          <w:kern w:val="0"/>
          <w:sz w:val="28"/>
          <w:szCs w:val="28"/>
          <w:lang w:eastAsia="zh-CN"/>
        </w:rPr>
        <w:t>五</w:t>
      </w:r>
      <w:r>
        <w:rPr>
          <w:rFonts w:hint="eastAsia" w:ascii="仿宋" w:hAnsi="仿宋" w:eastAsia="仿宋"/>
          <w:kern w:val="0"/>
          <w:sz w:val="28"/>
          <w:szCs w:val="28"/>
        </w:rPr>
        <w:t>、</w:t>
      </w:r>
      <w:r>
        <w:rPr>
          <w:rFonts w:ascii="仿宋" w:hAnsi="仿宋" w:eastAsia="仿宋"/>
          <w:kern w:val="0"/>
          <w:sz w:val="28"/>
          <w:szCs w:val="28"/>
        </w:rPr>
        <w:t>本合同自甲乙双方签订之日起生效，未经同意任何一方不得随意更改。如有未尽事宜，经双方协商，另订补充合同，补充合同与本合同具有同等法律效力。</w:t>
      </w:r>
    </w:p>
    <w:p w14:paraId="57A30FB0">
      <w:pPr>
        <w:widowControl/>
        <w:spacing w:line="480" w:lineRule="exact"/>
        <w:ind w:firstLine="542" w:firstLineChars="200"/>
        <w:jc w:val="left"/>
        <w:rPr>
          <w:rFonts w:ascii="仿宋" w:hAnsi="仿宋" w:eastAsia="仿宋"/>
          <w:kern w:val="0"/>
          <w:sz w:val="28"/>
          <w:szCs w:val="28"/>
        </w:rPr>
      </w:pPr>
      <w:r>
        <w:rPr>
          <w:rFonts w:hint="eastAsia" w:ascii="仿宋" w:hAnsi="仿宋" w:eastAsia="仿宋"/>
          <w:kern w:val="0"/>
          <w:sz w:val="28"/>
          <w:szCs w:val="28"/>
          <w:lang w:eastAsia="zh-CN"/>
        </w:rPr>
        <w:t>六</w:t>
      </w:r>
      <w:r>
        <w:rPr>
          <w:rFonts w:ascii="仿宋" w:hAnsi="仿宋" w:eastAsia="仿宋"/>
          <w:kern w:val="0"/>
          <w:sz w:val="28"/>
          <w:szCs w:val="28"/>
        </w:rPr>
        <w:t>、</w:t>
      </w:r>
      <w:r>
        <w:rPr>
          <w:rFonts w:ascii="仿宋" w:hAnsi="仿宋" w:eastAsia="仿宋"/>
          <w:kern w:val="0"/>
          <w:sz w:val="28"/>
          <w:szCs w:val="28"/>
          <w:highlight w:val="none"/>
        </w:rPr>
        <w:t>本合同一式</w:t>
      </w:r>
      <w:r>
        <w:rPr>
          <w:rFonts w:hint="eastAsia" w:ascii="仿宋" w:hAnsi="仿宋" w:eastAsia="仿宋"/>
          <w:kern w:val="0"/>
          <w:sz w:val="28"/>
          <w:szCs w:val="28"/>
          <w:highlight w:val="none"/>
        </w:rPr>
        <w:t>两</w:t>
      </w:r>
      <w:r>
        <w:rPr>
          <w:rFonts w:ascii="仿宋" w:hAnsi="仿宋" w:eastAsia="仿宋"/>
          <w:kern w:val="0"/>
          <w:sz w:val="28"/>
          <w:szCs w:val="28"/>
          <w:highlight w:val="none"/>
        </w:rPr>
        <w:t>份，甲</w:t>
      </w:r>
      <w:r>
        <w:rPr>
          <w:rFonts w:hint="eastAsia" w:ascii="仿宋" w:hAnsi="仿宋" w:eastAsia="仿宋"/>
          <w:kern w:val="0"/>
          <w:sz w:val="28"/>
          <w:szCs w:val="28"/>
          <w:highlight w:val="none"/>
        </w:rPr>
        <w:t>方一份、</w:t>
      </w:r>
      <w:r>
        <w:rPr>
          <w:rFonts w:ascii="仿宋" w:hAnsi="仿宋" w:eastAsia="仿宋"/>
          <w:kern w:val="0"/>
          <w:sz w:val="28"/>
          <w:szCs w:val="28"/>
          <w:highlight w:val="none"/>
        </w:rPr>
        <w:t>乙</w:t>
      </w:r>
      <w:r>
        <w:rPr>
          <w:rFonts w:hint="eastAsia" w:ascii="仿宋" w:hAnsi="仿宋" w:eastAsia="仿宋"/>
          <w:kern w:val="0"/>
          <w:sz w:val="28"/>
          <w:szCs w:val="28"/>
          <w:highlight w:val="none"/>
        </w:rPr>
        <w:t>方</w:t>
      </w:r>
      <w:r>
        <w:rPr>
          <w:rFonts w:ascii="仿宋" w:hAnsi="仿宋" w:eastAsia="仿宋"/>
          <w:kern w:val="0"/>
          <w:sz w:val="28"/>
          <w:szCs w:val="28"/>
          <w:highlight w:val="none"/>
        </w:rPr>
        <w:t>一份</w:t>
      </w:r>
      <w:r>
        <w:rPr>
          <w:rFonts w:hint="eastAsia" w:ascii="仿宋" w:hAnsi="仿宋" w:eastAsia="仿宋"/>
          <w:kern w:val="0"/>
          <w:sz w:val="28"/>
          <w:szCs w:val="28"/>
          <w:highlight w:val="none"/>
        </w:rPr>
        <w:t>，具有同等效力</w:t>
      </w:r>
      <w:r>
        <w:rPr>
          <w:rFonts w:ascii="仿宋" w:hAnsi="仿宋" w:eastAsia="仿宋"/>
          <w:kern w:val="0"/>
          <w:sz w:val="28"/>
          <w:szCs w:val="28"/>
          <w:highlight w:val="none"/>
        </w:rPr>
        <w:t>。</w:t>
      </w:r>
    </w:p>
    <w:p w14:paraId="48CAA3D8">
      <w:pPr>
        <w:widowControl/>
        <w:spacing w:line="480" w:lineRule="exact"/>
        <w:ind w:firstLine="542" w:firstLineChars="200"/>
        <w:jc w:val="left"/>
        <w:rPr>
          <w:rFonts w:ascii="仿宋" w:hAnsi="仿宋" w:eastAsia="仿宋"/>
          <w:kern w:val="0"/>
          <w:sz w:val="28"/>
          <w:szCs w:val="28"/>
        </w:rPr>
      </w:pPr>
    </w:p>
    <w:p w14:paraId="697FB928">
      <w:pPr>
        <w:widowControl/>
        <w:shd w:val="clear" w:color="auto" w:fill="FFFFFF"/>
        <w:spacing w:line="480" w:lineRule="exact"/>
        <w:ind w:left="5535" w:hanging="5556" w:hangingChars="2050"/>
        <w:rPr>
          <w:rFonts w:hint="eastAsia" w:ascii="仿宋" w:hAnsi="仿宋" w:eastAsia="仿宋"/>
          <w:kern w:val="0"/>
          <w:sz w:val="28"/>
          <w:szCs w:val="28"/>
        </w:rPr>
      </w:pPr>
      <w:r>
        <w:rPr>
          <w:rFonts w:ascii="仿宋" w:hAnsi="仿宋" w:eastAsia="仿宋"/>
          <w:kern w:val="0"/>
          <w:sz w:val="28"/>
          <w:szCs w:val="28"/>
        </w:rPr>
        <w:t>甲  方</w:t>
      </w:r>
      <w:r>
        <w:rPr>
          <w:rFonts w:hint="eastAsia" w:ascii="仿宋" w:hAnsi="仿宋" w:eastAsia="仿宋"/>
          <w:kern w:val="0"/>
          <w:sz w:val="28"/>
          <w:szCs w:val="28"/>
        </w:rPr>
        <w:t xml:space="preserve">:                </w:t>
      </w:r>
      <w:r>
        <w:rPr>
          <w:rFonts w:ascii="仿宋" w:hAnsi="仿宋" w:eastAsia="仿宋"/>
          <w:kern w:val="0"/>
          <w:sz w:val="28"/>
          <w:szCs w:val="28"/>
        </w:rPr>
        <w:t xml:space="preserve">  </w:t>
      </w:r>
      <w:r>
        <w:rPr>
          <w:rFonts w:hint="eastAsia" w:ascii="仿宋" w:hAnsi="仿宋" w:eastAsia="仿宋"/>
          <w:kern w:val="0"/>
          <w:sz w:val="28"/>
          <w:szCs w:val="28"/>
        </w:rPr>
        <w:t xml:space="preserve">       </w:t>
      </w:r>
      <w:r>
        <w:rPr>
          <w:rFonts w:ascii="仿宋" w:hAnsi="仿宋" w:eastAsia="仿宋"/>
          <w:kern w:val="0"/>
          <w:sz w:val="28"/>
          <w:szCs w:val="28"/>
        </w:rPr>
        <w:t>乙  方：</w:t>
      </w:r>
    </w:p>
    <w:p w14:paraId="099A49B4">
      <w:pPr>
        <w:widowControl/>
        <w:shd w:val="clear" w:color="auto" w:fill="FFFFFF"/>
        <w:spacing w:line="480" w:lineRule="exact"/>
        <w:ind w:left="5343" w:hanging="5363" w:hangingChars="1979"/>
        <w:jc w:val="left"/>
        <w:rPr>
          <w:rFonts w:hint="eastAsia" w:ascii="仿宋" w:hAnsi="仿宋" w:eastAsia="仿宋"/>
          <w:kern w:val="0"/>
          <w:sz w:val="28"/>
          <w:szCs w:val="28"/>
        </w:rPr>
      </w:pPr>
      <w:r>
        <w:rPr>
          <w:rFonts w:ascii="仿宋" w:hAnsi="仿宋" w:eastAsia="仿宋"/>
          <w:kern w:val="0"/>
          <w:sz w:val="28"/>
          <w:szCs w:val="28"/>
        </w:rPr>
        <w:t>地  址：</w:t>
      </w:r>
      <w:r>
        <w:rPr>
          <w:rFonts w:hint="eastAsia" w:ascii="仿宋" w:hAnsi="仿宋" w:eastAsia="仿宋"/>
          <w:kern w:val="0"/>
          <w:sz w:val="28"/>
          <w:szCs w:val="28"/>
        </w:rPr>
        <w:t xml:space="preserve">                </w:t>
      </w:r>
      <w:r>
        <w:rPr>
          <w:rFonts w:ascii="仿宋" w:hAnsi="仿宋" w:eastAsia="仿宋"/>
          <w:kern w:val="0"/>
          <w:sz w:val="28"/>
          <w:szCs w:val="28"/>
        </w:rPr>
        <w:t xml:space="preserve"> </w:t>
      </w:r>
      <w:r>
        <w:rPr>
          <w:rFonts w:hint="eastAsia" w:ascii="仿宋" w:hAnsi="仿宋" w:eastAsia="仿宋"/>
          <w:kern w:val="0"/>
          <w:sz w:val="28"/>
          <w:szCs w:val="28"/>
        </w:rPr>
        <w:t xml:space="preserve">       </w:t>
      </w:r>
      <w:r>
        <w:rPr>
          <w:rFonts w:ascii="仿宋" w:hAnsi="仿宋" w:eastAsia="仿宋"/>
          <w:kern w:val="0"/>
          <w:sz w:val="28"/>
          <w:szCs w:val="28"/>
        </w:rPr>
        <w:t xml:space="preserve"> 地  址</w:t>
      </w:r>
      <w:r>
        <w:rPr>
          <w:rFonts w:hint="eastAsia" w:ascii="仿宋" w:hAnsi="仿宋" w:eastAsia="仿宋"/>
          <w:kern w:val="0"/>
          <w:sz w:val="28"/>
          <w:szCs w:val="28"/>
        </w:rPr>
        <w:t>：</w:t>
      </w:r>
    </w:p>
    <w:p w14:paraId="06025C82">
      <w:pPr>
        <w:widowControl/>
        <w:shd w:val="clear" w:color="auto" w:fill="FFFFFF"/>
        <w:spacing w:line="480" w:lineRule="exact"/>
        <w:jc w:val="left"/>
        <w:rPr>
          <w:rFonts w:hint="eastAsia" w:ascii="仿宋" w:hAnsi="仿宋" w:eastAsia="仿宋"/>
          <w:kern w:val="0"/>
          <w:sz w:val="28"/>
          <w:szCs w:val="28"/>
        </w:rPr>
      </w:pPr>
      <w:r>
        <w:rPr>
          <w:rFonts w:ascii="仿宋" w:hAnsi="仿宋" w:eastAsia="仿宋"/>
          <w:kern w:val="0"/>
          <w:sz w:val="28"/>
          <w:szCs w:val="28"/>
        </w:rPr>
        <w:t xml:space="preserve">电  话：             </w:t>
      </w:r>
      <w:r>
        <w:rPr>
          <w:rFonts w:hint="eastAsia" w:ascii="仿宋" w:hAnsi="仿宋" w:eastAsia="仿宋"/>
          <w:kern w:val="0"/>
          <w:sz w:val="28"/>
          <w:szCs w:val="28"/>
        </w:rPr>
        <w:t xml:space="preserve">    </w:t>
      </w:r>
      <w:r>
        <w:rPr>
          <w:rFonts w:ascii="仿宋" w:hAnsi="仿宋" w:eastAsia="仿宋"/>
          <w:kern w:val="0"/>
          <w:sz w:val="28"/>
          <w:szCs w:val="28"/>
        </w:rPr>
        <w:t xml:space="preserve">    </w:t>
      </w:r>
      <w:r>
        <w:rPr>
          <w:rFonts w:hint="eastAsia" w:ascii="仿宋" w:hAnsi="仿宋" w:eastAsia="仿宋"/>
          <w:kern w:val="0"/>
          <w:sz w:val="28"/>
          <w:szCs w:val="28"/>
        </w:rPr>
        <w:t xml:space="preserve">  </w:t>
      </w:r>
      <w:r>
        <w:rPr>
          <w:rFonts w:ascii="仿宋" w:hAnsi="仿宋" w:eastAsia="仿宋"/>
          <w:kern w:val="0"/>
          <w:sz w:val="28"/>
          <w:szCs w:val="28"/>
        </w:rPr>
        <w:t xml:space="preserve"> 电  话：</w:t>
      </w:r>
    </w:p>
    <w:p w14:paraId="720C1E3E">
      <w:pPr>
        <w:widowControl/>
        <w:shd w:val="clear" w:color="auto" w:fill="FFFFFF"/>
        <w:spacing w:line="480" w:lineRule="exact"/>
        <w:jc w:val="left"/>
        <w:rPr>
          <w:rFonts w:ascii="仿宋" w:hAnsi="仿宋" w:eastAsia="仿宋"/>
          <w:kern w:val="0"/>
          <w:sz w:val="28"/>
          <w:szCs w:val="28"/>
        </w:rPr>
      </w:pPr>
      <w:r>
        <w:rPr>
          <w:rFonts w:ascii="仿宋" w:hAnsi="仿宋" w:eastAsia="仿宋"/>
          <w:kern w:val="0"/>
          <w:sz w:val="28"/>
          <w:szCs w:val="28"/>
        </w:rPr>
        <w:t xml:space="preserve">法定代表人（或委托人）   </w:t>
      </w:r>
      <w:r>
        <w:rPr>
          <w:rFonts w:hint="eastAsia" w:ascii="仿宋" w:hAnsi="仿宋" w:eastAsia="仿宋"/>
          <w:kern w:val="0"/>
          <w:sz w:val="28"/>
          <w:szCs w:val="28"/>
        </w:rPr>
        <w:t xml:space="preserve">       </w:t>
      </w:r>
      <w:r>
        <w:rPr>
          <w:rFonts w:ascii="仿宋" w:hAnsi="仿宋" w:eastAsia="仿宋"/>
          <w:kern w:val="0"/>
          <w:sz w:val="28"/>
          <w:szCs w:val="28"/>
        </w:rPr>
        <w:t>法定代表人（或委托人）：</w:t>
      </w:r>
    </w:p>
    <w:p w14:paraId="5428A4EA">
      <w:pPr>
        <w:widowControl/>
        <w:shd w:val="clear" w:color="auto" w:fill="FFFFFF"/>
        <w:spacing w:line="480" w:lineRule="exact"/>
        <w:jc w:val="left"/>
        <w:rPr>
          <w:rFonts w:ascii="仿宋" w:hAnsi="仿宋" w:eastAsia="仿宋"/>
          <w:kern w:val="0"/>
          <w:sz w:val="28"/>
          <w:szCs w:val="28"/>
        </w:rPr>
      </w:pPr>
      <w:r>
        <w:rPr>
          <w:rFonts w:ascii="仿宋" w:hAnsi="仿宋" w:eastAsia="仿宋"/>
          <w:kern w:val="0"/>
          <w:sz w:val="28"/>
          <w:szCs w:val="28"/>
        </w:rPr>
        <w:t xml:space="preserve">（签章）：                </w:t>
      </w:r>
      <w:r>
        <w:rPr>
          <w:rFonts w:hint="eastAsia" w:ascii="仿宋" w:hAnsi="仿宋" w:eastAsia="仿宋"/>
          <w:kern w:val="0"/>
          <w:sz w:val="28"/>
          <w:szCs w:val="28"/>
        </w:rPr>
        <w:t xml:space="preserve">     </w:t>
      </w:r>
      <w:r>
        <w:rPr>
          <w:rFonts w:ascii="仿宋" w:hAnsi="仿宋" w:eastAsia="仿宋"/>
          <w:kern w:val="0"/>
          <w:sz w:val="28"/>
          <w:szCs w:val="28"/>
        </w:rPr>
        <w:t>（签章）：</w:t>
      </w:r>
    </w:p>
    <w:p w14:paraId="5AF3CD6F">
      <w:pPr>
        <w:widowControl/>
        <w:shd w:val="clear" w:color="auto" w:fill="FFFFFF"/>
        <w:spacing w:line="480" w:lineRule="exact"/>
        <w:jc w:val="left"/>
        <w:rPr>
          <w:rFonts w:hint="eastAsia" w:ascii="仿宋" w:hAnsi="仿宋" w:eastAsia="仿宋"/>
          <w:kern w:val="0"/>
          <w:sz w:val="28"/>
          <w:szCs w:val="28"/>
          <w:highlight w:val="yellow"/>
        </w:rPr>
      </w:pPr>
      <w:r>
        <w:rPr>
          <w:rFonts w:ascii="仿宋" w:hAnsi="仿宋" w:eastAsia="仿宋"/>
          <w:kern w:val="0"/>
          <w:sz w:val="28"/>
          <w:szCs w:val="28"/>
        </w:rPr>
        <w:t>签定日期：</w:t>
      </w:r>
      <w:r>
        <w:rPr>
          <w:rFonts w:hint="eastAsia" w:ascii="仿宋" w:hAnsi="仿宋" w:eastAsia="仿宋"/>
          <w:kern w:val="0"/>
          <w:sz w:val="28"/>
          <w:szCs w:val="28"/>
        </w:rPr>
        <w:t xml:space="preserve"> 202</w:t>
      </w:r>
      <w:r>
        <w:rPr>
          <w:rFonts w:ascii="仿宋" w:hAnsi="仿宋" w:eastAsia="仿宋"/>
          <w:kern w:val="0"/>
          <w:sz w:val="28"/>
          <w:szCs w:val="28"/>
        </w:rPr>
        <w:t>4年</w:t>
      </w:r>
      <w:r>
        <w:rPr>
          <w:rFonts w:hint="eastAsia" w:ascii="仿宋" w:hAnsi="仿宋" w:eastAsia="仿宋"/>
          <w:kern w:val="0"/>
          <w:sz w:val="28"/>
          <w:szCs w:val="28"/>
          <w:lang w:val="en-US" w:eastAsia="zh-CN"/>
        </w:rPr>
        <w:t>7</w:t>
      </w:r>
      <w:r>
        <w:rPr>
          <w:rFonts w:hint="eastAsia" w:ascii="仿宋" w:hAnsi="仿宋" w:eastAsia="仿宋"/>
          <w:kern w:val="0"/>
          <w:sz w:val="28"/>
          <w:szCs w:val="28"/>
          <w:highlight w:val="none"/>
        </w:rPr>
        <w:t xml:space="preserve"> </w:t>
      </w:r>
      <w:r>
        <w:rPr>
          <w:rFonts w:ascii="仿宋" w:hAnsi="仿宋" w:eastAsia="仿宋"/>
          <w:kern w:val="0"/>
          <w:sz w:val="28"/>
          <w:szCs w:val="28"/>
          <w:highlight w:val="none"/>
        </w:rPr>
        <w:t>月</w:t>
      </w:r>
      <w:r>
        <w:rPr>
          <w:rFonts w:hint="eastAsia" w:ascii="仿宋" w:hAnsi="仿宋" w:eastAsia="仿宋"/>
          <w:kern w:val="0"/>
          <w:sz w:val="28"/>
          <w:szCs w:val="28"/>
          <w:highlight w:val="none"/>
          <w:lang w:val="en-US" w:eastAsia="zh-CN"/>
        </w:rPr>
        <w:t xml:space="preserve">  </w:t>
      </w:r>
      <w:r>
        <w:rPr>
          <w:rFonts w:ascii="仿宋" w:hAnsi="仿宋" w:eastAsia="仿宋"/>
          <w:kern w:val="0"/>
          <w:sz w:val="28"/>
          <w:szCs w:val="28"/>
          <w:highlight w:val="none"/>
        </w:rPr>
        <w:t>日</w:t>
      </w:r>
      <w:r>
        <w:rPr>
          <w:rFonts w:hint="eastAsia" w:ascii="仿宋" w:hAnsi="仿宋" w:eastAsia="仿宋"/>
          <w:kern w:val="0"/>
          <w:sz w:val="28"/>
          <w:szCs w:val="28"/>
          <w:highlight w:val="none"/>
        </w:rPr>
        <w:t xml:space="preserve">        </w:t>
      </w:r>
      <w:r>
        <w:rPr>
          <w:rFonts w:ascii="仿宋" w:hAnsi="仿宋" w:eastAsia="仿宋"/>
          <w:kern w:val="0"/>
          <w:sz w:val="28"/>
          <w:szCs w:val="28"/>
          <w:highlight w:val="none"/>
        </w:rPr>
        <w:t>签定日期：</w:t>
      </w:r>
      <w:r>
        <w:rPr>
          <w:rFonts w:hint="eastAsia" w:ascii="仿宋" w:hAnsi="仿宋" w:eastAsia="仿宋"/>
          <w:kern w:val="0"/>
          <w:sz w:val="28"/>
          <w:szCs w:val="28"/>
          <w:highlight w:val="none"/>
        </w:rPr>
        <w:t>202</w:t>
      </w:r>
      <w:r>
        <w:rPr>
          <w:rFonts w:ascii="仿宋" w:hAnsi="仿宋" w:eastAsia="仿宋"/>
          <w:kern w:val="0"/>
          <w:sz w:val="28"/>
          <w:szCs w:val="28"/>
          <w:highlight w:val="none"/>
        </w:rPr>
        <w:t>4</w:t>
      </w:r>
      <w:r>
        <w:rPr>
          <w:rFonts w:hint="eastAsia" w:ascii="仿宋" w:hAnsi="仿宋" w:eastAsia="仿宋"/>
          <w:kern w:val="0"/>
          <w:sz w:val="28"/>
          <w:szCs w:val="28"/>
          <w:highlight w:val="none"/>
        </w:rPr>
        <w:t xml:space="preserve"> </w:t>
      </w:r>
      <w:r>
        <w:rPr>
          <w:rFonts w:ascii="仿宋" w:hAnsi="仿宋" w:eastAsia="仿宋"/>
          <w:kern w:val="0"/>
          <w:sz w:val="28"/>
          <w:szCs w:val="28"/>
          <w:highlight w:val="none"/>
        </w:rPr>
        <w:t>年</w:t>
      </w:r>
      <w:r>
        <w:rPr>
          <w:rFonts w:hint="eastAsia" w:ascii="仿宋" w:hAnsi="仿宋" w:eastAsia="仿宋"/>
          <w:kern w:val="0"/>
          <w:sz w:val="28"/>
          <w:szCs w:val="28"/>
          <w:highlight w:val="none"/>
        </w:rPr>
        <w:t xml:space="preserve"> </w:t>
      </w:r>
      <w:r>
        <w:rPr>
          <w:rFonts w:hint="eastAsia" w:ascii="仿宋" w:hAnsi="仿宋" w:eastAsia="仿宋"/>
          <w:kern w:val="0"/>
          <w:sz w:val="28"/>
          <w:szCs w:val="28"/>
          <w:highlight w:val="none"/>
          <w:lang w:val="en-US" w:eastAsia="zh-CN"/>
        </w:rPr>
        <w:t>7</w:t>
      </w:r>
      <w:r>
        <w:rPr>
          <w:rFonts w:ascii="仿宋" w:hAnsi="仿宋" w:eastAsia="仿宋"/>
          <w:kern w:val="0"/>
          <w:sz w:val="28"/>
          <w:szCs w:val="28"/>
          <w:highlight w:val="none"/>
        </w:rPr>
        <w:t>月</w:t>
      </w:r>
      <w:r>
        <w:rPr>
          <w:rFonts w:hint="eastAsia" w:ascii="仿宋" w:hAnsi="仿宋" w:eastAsia="仿宋"/>
          <w:kern w:val="0"/>
          <w:sz w:val="28"/>
          <w:szCs w:val="28"/>
          <w:highlight w:val="none"/>
        </w:rPr>
        <w:t xml:space="preserve"> </w:t>
      </w:r>
      <w:r>
        <w:rPr>
          <w:rFonts w:hint="eastAsia" w:ascii="仿宋" w:hAnsi="仿宋" w:eastAsia="仿宋"/>
          <w:kern w:val="0"/>
          <w:sz w:val="28"/>
          <w:szCs w:val="28"/>
          <w:highlight w:val="none"/>
          <w:lang w:val="en-US" w:eastAsia="zh-CN"/>
        </w:rPr>
        <w:t xml:space="preserve">   </w:t>
      </w:r>
      <w:r>
        <w:rPr>
          <w:rFonts w:hint="eastAsia" w:ascii="仿宋" w:hAnsi="仿宋" w:eastAsia="仿宋"/>
          <w:kern w:val="0"/>
          <w:sz w:val="28"/>
          <w:szCs w:val="28"/>
          <w:highlight w:val="none"/>
        </w:rPr>
        <w:t xml:space="preserve"> </w:t>
      </w:r>
      <w:r>
        <w:rPr>
          <w:rFonts w:ascii="仿宋" w:hAnsi="仿宋" w:eastAsia="仿宋"/>
          <w:kern w:val="0"/>
          <w:sz w:val="28"/>
          <w:szCs w:val="28"/>
          <w:highlight w:val="none"/>
        </w:rPr>
        <w:t>日</w:t>
      </w:r>
    </w:p>
    <w:p w14:paraId="1379C120">
      <w:pPr>
        <w:ind w:firstLine="942" w:firstLineChars="200"/>
        <w:jc w:val="left"/>
        <w:rPr>
          <w:rFonts w:ascii="仿宋" w:hAnsi="仿宋" w:eastAsia="仿宋"/>
          <w:b/>
          <w:bCs/>
          <w:color w:val="333333"/>
          <w:kern w:val="36"/>
          <w:sz w:val="48"/>
          <w:szCs w:val="48"/>
        </w:rPr>
      </w:pPr>
    </w:p>
    <w:sectPr>
      <w:pgSz w:w="11907" w:h="16840"/>
      <w:pgMar w:top="1134" w:right="1417" w:bottom="1418" w:left="1417" w:header="1191" w:footer="1361" w:gutter="0"/>
      <w:cols w:space="720" w:num="1"/>
      <w:docGrid w:type="linesAndChars" w:linePitch="530" w:charSpace="-204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793136"/>
    <w:multiLevelType w:val="singleLevel"/>
    <w:tmpl w:val="A4793136"/>
    <w:lvl w:ilvl="0" w:tentative="0">
      <w:start w:val="3"/>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AxN2E4NzQxNDVlNmU4N2UzNmRmZTZkZmMxOTBhZTAifQ=="/>
  </w:docVars>
  <w:rsids>
    <w:rsidRoot w:val="00000000"/>
    <w:rsid w:val="01F76019"/>
    <w:rsid w:val="0494393E"/>
    <w:rsid w:val="19595D42"/>
    <w:rsid w:val="2FEB05E3"/>
    <w:rsid w:val="302D729E"/>
    <w:rsid w:val="39156B61"/>
    <w:rsid w:val="399C0BA6"/>
    <w:rsid w:val="5F6B76CD"/>
    <w:rsid w:val="63720E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99"/>
    <w:pPr>
      <w:pBdr>
        <w:bottom w:val="single" w:color="auto" w:sz="6" w:space="1"/>
      </w:pBdr>
      <w:tabs>
        <w:tab w:val="center" w:pos="4153"/>
        <w:tab w:val="right" w:pos="8306"/>
      </w:tabs>
      <w:snapToGrid w:val="0"/>
      <w:jc w:val="center"/>
    </w:pPr>
    <w:rPr>
      <w:sz w:val="18"/>
      <w:szCs w:val="18"/>
    </w:rPr>
  </w:style>
  <w:style w:type="character" w:styleId="6">
    <w:name w:val="page number"/>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1447</Words>
  <Characters>1471</Characters>
  <Lines>0</Lines>
  <Paragraphs>0</Paragraphs>
  <TotalTime>23</TotalTime>
  <ScaleCrop>false</ScaleCrop>
  <LinksUpToDate>false</LinksUpToDate>
  <CharactersWithSpaces>1689</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2024-07-11T03:29:00Z</dcterms:created>
  <dc:creator>Administrator</dc:creator>
  <cp:lastModifiedBy>Jason_Mu</cp:lastModifiedBy>
  <dcterms:modified xsi:type="dcterms:W3CDTF">2024-07-12T07:02:49Z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06729D41E4CE4C928E2145BBBCDDEF6C_12</vt:lpwstr>
  </property>
</Properties>
</file>