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45D4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附件3：</w:t>
      </w:r>
    </w:p>
    <w:p w14:paraId="34178B20">
      <w:pPr>
        <w:pStyle w:val="3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合同编号：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 xml:space="preserve">       </w:t>
      </w:r>
    </w:p>
    <w:p w14:paraId="397AD06D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7986EA84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785C1D3D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6861E23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德阳高新建材有限公司</w:t>
      </w:r>
    </w:p>
    <w:p w14:paraId="4410B9F3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广汉会展国际酒店分公司</w:t>
      </w:r>
    </w:p>
    <w:p w14:paraId="58FD1AE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有害生物防治服务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及设备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采购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合同</w:t>
      </w:r>
    </w:p>
    <w:p w14:paraId="541909E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48D929A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5C64B82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3A1D15A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0F224EA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42B30378">
      <w:pPr>
        <w:pStyle w:val="2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7EF169DF">
      <w:pPr>
        <w:rPr>
          <w:rFonts w:hint="default"/>
        </w:rPr>
      </w:pPr>
    </w:p>
    <w:p w14:paraId="3D064D4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33CA417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甲方（采购方）：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             </w:t>
      </w:r>
    </w:p>
    <w:p w14:paraId="3193DAC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乙方（服务方）：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             </w:t>
      </w:r>
    </w:p>
    <w:p w14:paraId="03B36CA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 w14:paraId="0DA225C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根据《中华人民共和国民法典》和全国爱卫会、卫生部联合下发的《病媒生物预防控制管理规定》，经甲、乙双方协商，就甲方委托乙方防治有害生物服务事宜，签订以下服务合同，供双方共同遵守。</w:t>
      </w:r>
    </w:p>
    <w:p w14:paraId="0FDDBA87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b/>
          <w:bCs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防治服务目标、服务方式</w:t>
      </w:r>
    </w:p>
    <w:p w14:paraId="7B63BF5D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乙方根据甲方单位的特点和防治种类采取规范、综合防治措施，有效降低和控制卫生虫害密度并达到合同约定的密度控制水平。</w:t>
      </w:r>
    </w:p>
    <w:p w14:paraId="6845F415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乙方派出专业防治技术人员，实施病媒生物控制国家标准规定的三防设施建设和完善。</w:t>
      </w:r>
    </w:p>
    <w:p w14:paraId="06F1FDFA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二、防治对象、范围及费用</w:t>
      </w:r>
    </w:p>
    <w:p w14:paraId="375953CB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防治靶标害虫种类：_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</w:rPr>
        <w:t>蟑螂，鼠类，苍蝇，蚊虫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u w:val="single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</w:rPr>
        <w:t>蛇_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。若甲方发生非靶标害虫孳生、骚扰，乙方应免费提供虫害咨询和防治方案，防治费用双方另行协商，不包含在本合同中。</w:t>
      </w:r>
    </w:p>
    <w:p w14:paraId="07A01F6C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rPr>
          <w:rFonts w:hint="eastAsia" w:ascii="Times New Roman" w:hAnsi="Times New Roman" w:eastAsia="方正仿宋简体" w:cs="Times New Roman"/>
          <w:color w:val="333333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防治范围是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u w:val="single"/>
          <w:lang w:val="en-US" w:eastAsia="zh-CN"/>
        </w:rPr>
        <w:t>广汉会展国际酒店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场所室内空间和所属外环境。防治面积：_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u w:val="single"/>
          <w:lang w:val="en-US" w:eastAsia="zh-CN"/>
        </w:rPr>
        <w:t>38646.27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平方米，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none"/>
        </w:rPr>
        <w:t>含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地下室、建筑屋顶等附属设施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lang w:val="en-US" w:eastAsia="zh-CN"/>
        </w:rPr>
        <w:t>及周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围所属的广场、绿地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lang w:eastAsia="zh-CN"/>
        </w:rPr>
        <w:t>。</w:t>
      </w:r>
    </w:p>
    <w:p w14:paraId="65C7C191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本项防治服务年服务费用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元整，折合每月服务费用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元整。</w:t>
      </w:r>
    </w:p>
    <w:p w14:paraId="4A31558D">
      <w:pPr>
        <w:pStyle w:val="2"/>
        <w:rPr>
          <w:rFonts w:hint="default" w:eastAsia="方正仿宋简体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/>
        </w:rPr>
        <w:t xml:space="preserve">  4、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本项防治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lang w:val="en-US" w:eastAsia="zh-CN"/>
        </w:rPr>
        <w:t>设备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费用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  <w:t>元整</w:t>
      </w:r>
      <w:r>
        <w:rPr>
          <w:rFonts w:hint="eastAsia" w:eastAsia="方正仿宋简体" w:cs="Times New Roman"/>
          <w:color w:val="333333"/>
          <w:kern w:val="0"/>
          <w:sz w:val="32"/>
          <w:szCs w:val="32"/>
          <w:lang w:val="en-US" w:eastAsia="zh-CN"/>
        </w:rPr>
        <w:t>。</w:t>
      </w:r>
    </w:p>
    <w:p w14:paraId="0274AC11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三、消杀标准及服务频率</w:t>
      </w:r>
    </w:p>
    <w:p w14:paraId="1CDA980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表1 有害生物控制达标要求</w:t>
      </w:r>
    </w:p>
    <w:tbl>
      <w:tblPr>
        <w:tblStyle w:val="5"/>
        <w:tblW w:w="985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1"/>
        <w:gridCol w:w="7998"/>
      </w:tblGrid>
      <w:tr w14:paraId="47FF5D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837391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防治靶标害虫</w:t>
            </w:r>
          </w:p>
        </w:tc>
        <w:tc>
          <w:tcPr>
            <w:tcW w:w="7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733017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防治目标</w:t>
            </w:r>
          </w:p>
        </w:tc>
      </w:tr>
      <w:tr w14:paraId="261A73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41A8CF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鼠类</w:t>
            </w:r>
          </w:p>
        </w:tc>
        <w:tc>
          <w:tcPr>
            <w:tcW w:w="7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45464A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国标《GB/T 27770-2011 病媒生物密度防治水平 鼠类》规定的单位鼠密度防治标准C级</w:t>
            </w:r>
          </w:p>
        </w:tc>
      </w:tr>
      <w:tr w14:paraId="281CF3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1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67046C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蟑螂</w:t>
            </w:r>
          </w:p>
        </w:tc>
        <w:tc>
          <w:tcPr>
            <w:tcW w:w="7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253F69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国标《GB/T 27773-2011 病媒生物密度防治水平 蜚蠊》规定的单位蟑螂密度防治标准C级</w:t>
            </w:r>
          </w:p>
        </w:tc>
      </w:tr>
      <w:tr w14:paraId="2B5E0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1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741C8D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蝇类</w:t>
            </w:r>
          </w:p>
        </w:tc>
        <w:tc>
          <w:tcPr>
            <w:tcW w:w="7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BFF346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国标《GB/T 27772-2011 病媒生物密度防治水平 蝇类》规定的单位蝇密度防治标准C级</w:t>
            </w:r>
          </w:p>
        </w:tc>
      </w:tr>
      <w:tr w14:paraId="13D09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AC90CC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蚊虫</w:t>
            </w:r>
          </w:p>
        </w:tc>
        <w:tc>
          <w:tcPr>
            <w:tcW w:w="7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220119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国标《GB/T 27771-2011 病媒生物密度防治水平 蚊虫》规定的单位蚊虫密度防治标准C级</w:t>
            </w:r>
          </w:p>
        </w:tc>
      </w:tr>
    </w:tbl>
    <w:p w14:paraId="59B1902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rPr>
          <w:rFonts w:hint="default" w:ascii="Times New Roman" w:hAnsi="Times New Roman" w:eastAsia="方正仿宋简体" w:cs="Times New Roman"/>
          <w:b/>
          <w:bCs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333333"/>
          <w:kern w:val="0"/>
          <w:sz w:val="32"/>
          <w:szCs w:val="32"/>
        </w:rPr>
        <w:tab/>
      </w:r>
    </w:p>
    <w:p w14:paraId="26016FC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表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有害生物控制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实施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服务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要求</w:t>
      </w:r>
    </w:p>
    <w:tbl>
      <w:tblPr>
        <w:tblStyle w:val="6"/>
        <w:tblpPr w:leftFromText="180" w:rightFromText="180" w:vertAnchor="text" w:horzAnchor="page" w:tblpXSpec="center" w:tblpY="451"/>
        <w:tblOverlap w:val="never"/>
        <w:tblW w:w="1003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352"/>
        <w:gridCol w:w="3089"/>
        <w:gridCol w:w="1603"/>
        <w:gridCol w:w="2687"/>
      </w:tblGrid>
      <w:tr w14:paraId="2F8F25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07" w:type="dxa"/>
            <w:vAlign w:val="center"/>
          </w:tcPr>
          <w:p w14:paraId="3248DEB8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处理区域</w:t>
            </w:r>
          </w:p>
        </w:tc>
        <w:tc>
          <w:tcPr>
            <w:tcW w:w="1352" w:type="dxa"/>
            <w:vAlign w:val="center"/>
          </w:tcPr>
          <w:p w14:paraId="65213152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靶标害虫</w:t>
            </w:r>
          </w:p>
        </w:tc>
        <w:tc>
          <w:tcPr>
            <w:tcW w:w="3089" w:type="dxa"/>
            <w:vAlign w:val="center"/>
          </w:tcPr>
          <w:p w14:paraId="157E6666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实施措施</w:t>
            </w:r>
          </w:p>
        </w:tc>
        <w:tc>
          <w:tcPr>
            <w:tcW w:w="1603" w:type="dxa"/>
            <w:vAlign w:val="center"/>
          </w:tcPr>
          <w:p w14:paraId="75D8A5B1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实施频率</w:t>
            </w:r>
          </w:p>
        </w:tc>
        <w:tc>
          <w:tcPr>
            <w:tcW w:w="2687" w:type="dxa"/>
            <w:vAlign w:val="center"/>
          </w:tcPr>
          <w:p w14:paraId="5D3822F2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实施要求</w:t>
            </w:r>
          </w:p>
        </w:tc>
      </w:tr>
      <w:tr w14:paraId="6FF048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07" w:type="dxa"/>
            <w:vMerge w:val="restart"/>
            <w:vAlign w:val="center"/>
          </w:tcPr>
          <w:p w14:paraId="0875C6AA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04088148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268B641F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外环境</w:t>
            </w:r>
          </w:p>
        </w:tc>
        <w:tc>
          <w:tcPr>
            <w:tcW w:w="1352" w:type="dxa"/>
            <w:vAlign w:val="center"/>
          </w:tcPr>
          <w:p w14:paraId="3FE73C5D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鼠类</w:t>
            </w:r>
          </w:p>
        </w:tc>
        <w:tc>
          <w:tcPr>
            <w:tcW w:w="3089" w:type="dxa"/>
            <w:vAlign w:val="center"/>
          </w:tcPr>
          <w:p w14:paraId="25735070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设立毒饵站、巡查、定点灭鼠</w:t>
            </w:r>
          </w:p>
        </w:tc>
        <w:tc>
          <w:tcPr>
            <w:tcW w:w="1603" w:type="dxa"/>
            <w:vMerge w:val="restart"/>
            <w:vAlign w:val="center"/>
          </w:tcPr>
          <w:p w14:paraId="5B4FF698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每月4次</w:t>
            </w:r>
          </w:p>
        </w:tc>
        <w:tc>
          <w:tcPr>
            <w:tcW w:w="2687" w:type="dxa"/>
            <w:vMerge w:val="restart"/>
            <w:vAlign w:val="center"/>
          </w:tcPr>
          <w:p w14:paraId="488D6CF0">
            <w:pPr>
              <w:pStyle w:val="8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="420" w:leftChars="0" w:hanging="42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每次服务提交施工报告</w:t>
            </w:r>
          </w:p>
          <w:p w14:paraId="2979E7F6">
            <w:pPr>
              <w:pStyle w:val="8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="420" w:leftChars="0" w:hanging="42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每月针对环境卫生、三防设施提交完善建议</w:t>
            </w:r>
          </w:p>
          <w:p w14:paraId="02A62498">
            <w:pPr>
              <w:pStyle w:val="8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="420" w:leftChars="0" w:hanging="42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每季度提交虫害分析报告（含趋势分析）。</w:t>
            </w:r>
          </w:p>
        </w:tc>
      </w:tr>
      <w:tr w14:paraId="78522E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  <w:jc w:val="center"/>
        </w:trPr>
        <w:tc>
          <w:tcPr>
            <w:tcW w:w="1307" w:type="dxa"/>
            <w:vMerge w:val="continue"/>
            <w:vAlign w:val="center"/>
          </w:tcPr>
          <w:p w14:paraId="5F453095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7F8910BD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飞虫</w:t>
            </w:r>
          </w:p>
        </w:tc>
        <w:tc>
          <w:tcPr>
            <w:tcW w:w="3089" w:type="dxa"/>
            <w:vAlign w:val="center"/>
          </w:tcPr>
          <w:p w14:paraId="75926181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在外环境拟建立害虫入侵阻断带，用药物阻断害虫入侵，并处理蚊蝇孳生地。</w:t>
            </w:r>
          </w:p>
        </w:tc>
        <w:tc>
          <w:tcPr>
            <w:tcW w:w="1603" w:type="dxa"/>
            <w:vMerge w:val="continue"/>
            <w:vAlign w:val="center"/>
          </w:tcPr>
          <w:p w14:paraId="689CB344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7A1E55CA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3CC4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307" w:type="dxa"/>
            <w:vMerge w:val="continue"/>
            <w:vAlign w:val="center"/>
          </w:tcPr>
          <w:p w14:paraId="4F8B02EE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102B9BA6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爬虫</w:t>
            </w:r>
          </w:p>
        </w:tc>
        <w:tc>
          <w:tcPr>
            <w:tcW w:w="3089" w:type="dxa"/>
            <w:vAlign w:val="center"/>
          </w:tcPr>
          <w:p w14:paraId="60B571E1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巡查入侵通道， 滞留喷洒药物阻断入侵</w:t>
            </w:r>
          </w:p>
        </w:tc>
        <w:tc>
          <w:tcPr>
            <w:tcW w:w="1603" w:type="dxa"/>
            <w:vMerge w:val="continue"/>
            <w:vAlign w:val="center"/>
          </w:tcPr>
          <w:p w14:paraId="2E2A5389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59422BC7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713EE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307" w:type="dxa"/>
            <w:vMerge w:val="continue"/>
            <w:vAlign w:val="center"/>
          </w:tcPr>
          <w:p w14:paraId="4FC0D318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241AC6DB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蛇类</w:t>
            </w:r>
          </w:p>
        </w:tc>
        <w:tc>
          <w:tcPr>
            <w:tcW w:w="3089" w:type="dxa"/>
            <w:vAlign w:val="center"/>
          </w:tcPr>
          <w:p w14:paraId="696F093A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防蛇装置+驱蛇药粉</w:t>
            </w:r>
          </w:p>
        </w:tc>
        <w:tc>
          <w:tcPr>
            <w:tcW w:w="1603" w:type="dxa"/>
            <w:vMerge w:val="continue"/>
            <w:vAlign w:val="center"/>
          </w:tcPr>
          <w:p w14:paraId="3CE2CC6C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47306D56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5D90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07" w:type="dxa"/>
            <w:vMerge w:val="restart"/>
            <w:vAlign w:val="center"/>
          </w:tcPr>
          <w:p w14:paraId="23292449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1F379594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0E55F337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建筑四周</w:t>
            </w:r>
          </w:p>
        </w:tc>
        <w:tc>
          <w:tcPr>
            <w:tcW w:w="1352" w:type="dxa"/>
            <w:vAlign w:val="center"/>
          </w:tcPr>
          <w:p w14:paraId="3B4E7828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鼠类</w:t>
            </w:r>
          </w:p>
        </w:tc>
        <w:tc>
          <w:tcPr>
            <w:tcW w:w="3089" w:type="dxa"/>
            <w:vAlign w:val="center"/>
          </w:tcPr>
          <w:p w14:paraId="2050F522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设立毒饵站、巡查、定点灭鼠</w:t>
            </w:r>
          </w:p>
        </w:tc>
        <w:tc>
          <w:tcPr>
            <w:tcW w:w="1603" w:type="dxa"/>
            <w:vMerge w:val="continue"/>
            <w:vAlign w:val="center"/>
          </w:tcPr>
          <w:p w14:paraId="3D531C3A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266F7147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BD039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07" w:type="dxa"/>
            <w:vMerge w:val="continue"/>
            <w:vAlign w:val="center"/>
          </w:tcPr>
          <w:p w14:paraId="4D79F157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0D4B2899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飞虫</w:t>
            </w:r>
          </w:p>
        </w:tc>
        <w:tc>
          <w:tcPr>
            <w:tcW w:w="3089" w:type="dxa"/>
            <w:vAlign w:val="center"/>
          </w:tcPr>
          <w:p w14:paraId="0E76DF30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巡查入侵通道，提出完善建议</w:t>
            </w:r>
          </w:p>
        </w:tc>
        <w:tc>
          <w:tcPr>
            <w:tcW w:w="1603" w:type="dxa"/>
            <w:vMerge w:val="continue"/>
            <w:vAlign w:val="center"/>
          </w:tcPr>
          <w:p w14:paraId="77EA926C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0192192C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D5AF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307" w:type="dxa"/>
            <w:vMerge w:val="continue"/>
            <w:vAlign w:val="center"/>
          </w:tcPr>
          <w:p w14:paraId="2CCD890B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26F7AECF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爬虫</w:t>
            </w:r>
          </w:p>
        </w:tc>
        <w:tc>
          <w:tcPr>
            <w:tcW w:w="3089" w:type="dxa"/>
            <w:vAlign w:val="center"/>
          </w:tcPr>
          <w:p w14:paraId="78AAC4BD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巡查入侵通道， 滞留喷洒药物阻断入侵</w:t>
            </w:r>
          </w:p>
        </w:tc>
        <w:tc>
          <w:tcPr>
            <w:tcW w:w="1603" w:type="dxa"/>
            <w:vMerge w:val="continue"/>
            <w:vAlign w:val="center"/>
          </w:tcPr>
          <w:p w14:paraId="5A671DC2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788E6AD2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0FBEB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307" w:type="dxa"/>
            <w:vMerge w:val="continue"/>
            <w:vAlign w:val="center"/>
          </w:tcPr>
          <w:p w14:paraId="710969DC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133D0AF5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蛇类</w:t>
            </w:r>
          </w:p>
        </w:tc>
        <w:tc>
          <w:tcPr>
            <w:tcW w:w="3089" w:type="dxa"/>
            <w:vAlign w:val="center"/>
          </w:tcPr>
          <w:p w14:paraId="13ECAE4E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防蛇装置+驱蛇药粉</w:t>
            </w:r>
          </w:p>
        </w:tc>
        <w:tc>
          <w:tcPr>
            <w:tcW w:w="1603" w:type="dxa"/>
            <w:vMerge w:val="continue"/>
            <w:vAlign w:val="center"/>
          </w:tcPr>
          <w:p w14:paraId="07D4EA2B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6E2BD28F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7C17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307" w:type="dxa"/>
            <w:vMerge w:val="restart"/>
            <w:vAlign w:val="center"/>
          </w:tcPr>
          <w:p w14:paraId="3026B202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755F3CDE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55685E7D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建筑内部</w:t>
            </w:r>
          </w:p>
        </w:tc>
        <w:tc>
          <w:tcPr>
            <w:tcW w:w="1352" w:type="dxa"/>
            <w:vAlign w:val="center"/>
          </w:tcPr>
          <w:p w14:paraId="6C6BE7B6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鼠类</w:t>
            </w:r>
          </w:p>
        </w:tc>
        <w:tc>
          <w:tcPr>
            <w:tcW w:w="3089" w:type="dxa"/>
            <w:vAlign w:val="center"/>
          </w:tcPr>
          <w:p w14:paraId="06920BEA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毒饵灭鼠、器械捕鼠</w:t>
            </w:r>
            <w:r>
              <w:rPr>
                <w:rFonts w:hint="eastAsia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（粘鼠板、鼠夹）</w:t>
            </w: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、持续监控</w:t>
            </w:r>
          </w:p>
        </w:tc>
        <w:tc>
          <w:tcPr>
            <w:tcW w:w="1603" w:type="dxa"/>
            <w:vMerge w:val="continue"/>
            <w:vAlign w:val="center"/>
          </w:tcPr>
          <w:p w14:paraId="70104513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1FDA72E8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B2959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307" w:type="dxa"/>
            <w:vMerge w:val="continue"/>
            <w:vAlign w:val="center"/>
          </w:tcPr>
          <w:p w14:paraId="006E18A6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4A278929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飞虫</w:t>
            </w:r>
          </w:p>
        </w:tc>
        <w:tc>
          <w:tcPr>
            <w:tcW w:w="3089" w:type="dxa"/>
            <w:vAlign w:val="center"/>
          </w:tcPr>
          <w:p w14:paraId="0CB0B8CE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物理防治、超低空间喷雾、定点滞留喷洒</w:t>
            </w:r>
          </w:p>
        </w:tc>
        <w:tc>
          <w:tcPr>
            <w:tcW w:w="1603" w:type="dxa"/>
            <w:vMerge w:val="continue"/>
            <w:vAlign w:val="center"/>
          </w:tcPr>
          <w:p w14:paraId="2B052891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5D80E862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3A2F5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  <w:jc w:val="center"/>
        </w:trPr>
        <w:tc>
          <w:tcPr>
            <w:tcW w:w="1307" w:type="dxa"/>
            <w:vMerge w:val="continue"/>
            <w:vAlign w:val="center"/>
          </w:tcPr>
          <w:p w14:paraId="65178764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 w14:paraId="676D2B4B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爬虫</w:t>
            </w:r>
          </w:p>
        </w:tc>
        <w:tc>
          <w:tcPr>
            <w:tcW w:w="3089" w:type="dxa"/>
            <w:vAlign w:val="center"/>
          </w:tcPr>
          <w:p w14:paraId="46C49C88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胶饵颗粒毒饵诱杀、滞留喷洒触杀粉剂</w:t>
            </w:r>
          </w:p>
        </w:tc>
        <w:tc>
          <w:tcPr>
            <w:tcW w:w="1603" w:type="dxa"/>
            <w:vMerge w:val="continue"/>
            <w:vAlign w:val="center"/>
          </w:tcPr>
          <w:p w14:paraId="6A904748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7" w:type="dxa"/>
            <w:vMerge w:val="continue"/>
            <w:vAlign w:val="center"/>
          </w:tcPr>
          <w:p w14:paraId="5DBC97CE">
            <w:pPr>
              <w:pStyle w:val="8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0" w:firstLineChars="0"/>
              <w:jc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2EC1AB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eastAsia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3B87323">
      <w:pPr>
        <w:pStyle w:val="2"/>
        <w:rPr>
          <w:rFonts w:hint="eastAsia"/>
          <w:lang w:val="en-US" w:eastAsia="zh-CN"/>
        </w:rPr>
      </w:pPr>
    </w:p>
    <w:p w14:paraId="7599A68B">
      <w:pPr>
        <w:rPr>
          <w:rFonts w:hint="eastAsia"/>
          <w:lang w:val="en-US" w:eastAsia="zh-CN"/>
        </w:rPr>
      </w:pPr>
    </w:p>
    <w:p w14:paraId="649CEBE4">
      <w:pPr>
        <w:pStyle w:val="2"/>
        <w:rPr>
          <w:rFonts w:hint="eastAsia"/>
          <w:lang w:val="en-US" w:eastAsia="zh-CN"/>
        </w:rPr>
      </w:pPr>
    </w:p>
    <w:p w14:paraId="7A470178">
      <w:pPr>
        <w:rPr>
          <w:rFonts w:hint="eastAsia"/>
          <w:lang w:val="en-US" w:eastAsia="zh-CN"/>
        </w:rPr>
      </w:pPr>
    </w:p>
    <w:p w14:paraId="76C2D59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eastAsia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表3有害生物防治设备明细及要求</w:t>
      </w:r>
    </w:p>
    <w:p w14:paraId="6C0DCDD9">
      <w:pPr>
        <w:pStyle w:val="2"/>
        <w:rPr>
          <w:rFonts w:hint="eastAsia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05B7561">
      <w:pPr>
        <w:rPr>
          <w:rFonts w:hint="eastAsia"/>
          <w:lang w:val="en-US" w:eastAsia="zh-CN"/>
        </w:rPr>
      </w:pPr>
    </w:p>
    <w:tbl>
      <w:tblPr>
        <w:tblStyle w:val="5"/>
        <w:tblW w:w="93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084"/>
        <w:gridCol w:w="2002"/>
        <w:gridCol w:w="2205"/>
        <w:gridCol w:w="3361"/>
      </w:tblGrid>
      <w:tr w14:paraId="63A79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30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5F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广汉会展国际酒店虫控三防设备明细</w:t>
            </w:r>
          </w:p>
        </w:tc>
      </w:tr>
      <w:tr w14:paraId="6AFD4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300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29FE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53AFB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79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58413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1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E1B4B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区域</w:t>
            </w:r>
          </w:p>
        </w:tc>
        <w:tc>
          <w:tcPr>
            <w:tcW w:w="2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198C6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数量  （个）</w:t>
            </w:r>
          </w:p>
        </w:tc>
        <w:tc>
          <w:tcPr>
            <w:tcW w:w="33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E08A2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26CB4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79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DB75B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EA70E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ABC0D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DBF55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8B9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D8ED1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三</w:t>
            </w:r>
          </w:p>
          <w:p w14:paraId="0F5CD1A1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防</w:t>
            </w:r>
          </w:p>
          <w:p w14:paraId="6B99D3CF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设</w:t>
            </w:r>
          </w:p>
          <w:p w14:paraId="4604230C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备</w:t>
            </w:r>
          </w:p>
        </w:tc>
        <w:tc>
          <w:tcPr>
            <w:tcW w:w="110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11455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蚊蝇灯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D3B72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厨  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A7B9A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703F5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捕之神灭蝇灯GM621，LED灯管，包含安装材料，安装人工等。</w:t>
            </w:r>
          </w:p>
        </w:tc>
      </w:tr>
      <w:tr w14:paraId="3DE3B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0AF12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19B60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7101F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户  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3AB56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91996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9C1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C0B82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05D91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挡鼠板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3C32C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厨房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D4FFD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67B16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4个厨房所有进出口</w:t>
            </w:r>
          </w:p>
        </w:tc>
      </w:tr>
      <w:tr w14:paraId="4B536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37725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2F233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翻板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D3B22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0D0E0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F9A18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用于厨房炒菜盛装调料</w:t>
            </w:r>
          </w:p>
        </w:tc>
      </w:tr>
      <w:tr w14:paraId="7380B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F47A2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8B93B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斜坡踏板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EACCB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D92EC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6B77D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方便手推车进入</w:t>
            </w:r>
          </w:p>
        </w:tc>
      </w:tr>
      <w:tr w14:paraId="6C6BA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2894E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7768731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风幕机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E562E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厨房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148F7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843C1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米风风幕机大风量遥控款                      1.5米13台FM-1215B-Y    </w:t>
            </w:r>
          </w:p>
        </w:tc>
      </w:tr>
      <w:tr w14:paraId="084BB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93D7A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04B1F6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A40A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35124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8417C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1.2米1台FM-1212B-Y </w:t>
            </w:r>
          </w:p>
        </w:tc>
      </w:tr>
      <w:tr w14:paraId="4ED4A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5B8F8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B84A2E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堵洞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0F4FB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厨房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3FC97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FBEB50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堵洞，对厨房内通向外部的所有管道，下水口进行钢丝球、发泡剂封堵。外面管道进行防鼠刺安装。篦子待测量后订做，在排水口安装，篦子间隙或者网眼小于10mm。</w:t>
            </w:r>
          </w:p>
        </w:tc>
      </w:tr>
      <w:tr w14:paraId="018F9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9CC0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8C0AF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下水道篦子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08152F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806F8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5C3CFE"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D5394F5">
      <w:pPr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hint="default" w:ascii="Times New Roman" w:hAnsi="Times New Roman" w:eastAsia="方正仿宋简体" w:cs="Times New Roman"/>
          <w:color w:val="000000" w:themeColor="text1"/>
          <w:kern w:val="2"/>
          <w:sz w:val="21"/>
          <w:szCs w:val="21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46FC72C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bCs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经双方协商，乙方施工频率为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每月</w:t>
      </w:r>
      <w:r>
        <w:rPr>
          <w:rFonts w:hint="eastAsia" w:eastAsia="方正仿宋简体" w:cs="Times New Roman"/>
          <w:sz w:val="32"/>
          <w:szCs w:val="32"/>
          <w:u w:val="single"/>
          <w:lang w:val="en-US" w:eastAsia="zh-CN"/>
        </w:rPr>
        <w:t>5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次</w:t>
      </w:r>
      <w:r>
        <w:rPr>
          <w:rFonts w:hint="default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因虫鼠密度波动或发生例外情况，经双方协商，可以在不增加服务次数前提下，调整服务时间。若一方需要增加或减少服务频次，另一方应在3个工作日内回复，并协商一致。协商不成，按照第十条“争议的解决”处理。</w:t>
      </w:r>
    </w:p>
    <w:p w14:paraId="22ABF293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四、服务期限</w:t>
      </w:r>
    </w:p>
    <w:p w14:paraId="043E888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合同生效后乙方在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1个工作日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内安排进场启动有害生物防治施工，合同期限为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1年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，合同起止日期：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2024年  月  日 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至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2025年   月   日 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68FBEAC5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五、服务费用的支付方式</w:t>
      </w:r>
    </w:p>
    <w:p w14:paraId="702ABFD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有害生物防治设备费由甲方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一次性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支付给乙方，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服务费用由甲方 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按月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支付给乙方，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每月支付前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乙方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应出具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双方签字确认的施工记录单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甲方开具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等额合法有效的增值税专用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发票，甲方在收到后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个工作日内将有害生物控制服务费支付给乙方。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若未提供前述付款资料，甲方有权拒绝付款且不承担延迟履行的法律责任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。</w:t>
      </w:r>
    </w:p>
    <w:p w14:paraId="438CC37C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六、甲方的职责</w:t>
      </w:r>
    </w:p>
    <w:p w14:paraId="5A0A7CB5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有权对乙方的防治服务工作质量进行监督，提出整改、提升意见。</w:t>
      </w:r>
    </w:p>
    <w:p w14:paraId="59DD515B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指定专人对接乙方人员防治服务工作，并通知相关人员提供工作上的便利。</w:t>
      </w:r>
    </w:p>
    <w:p w14:paraId="45FD6B0C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乙方每次服务后，应指派人员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验收确认施工情况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30668F48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负责搞好单位的环境卫生，并在乙方的指导下落实施工过程中提交的有害生物防控建议。</w:t>
      </w:r>
    </w:p>
    <w:p w14:paraId="4006DBFD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对易发生人畜、宠物误食的投药场所，应当设立警示标识。</w:t>
      </w:r>
    </w:p>
    <w:p w14:paraId="0E5C3B07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 w:bidi="ar-SA"/>
        </w:rPr>
        <w:t>6、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按时足额支付乙方防治服务费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与设备费用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5568E683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七、乙方的职责</w:t>
      </w:r>
    </w:p>
    <w:p w14:paraId="14D89FE3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使用的药物和器械应合规、三证齐全。</w:t>
      </w:r>
    </w:p>
    <w:p w14:paraId="2A29117E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确保服务质量，使虫害控制水平达到合同规定的要求。</w:t>
      </w:r>
    </w:p>
    <w:p w14:paraId="45EDA137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按照合同约定频次实施防治服务，每次服务完毕提交有甲方签字的施工记录单。</w:t>
      </w:r>
    </w:p>
    <w:p w14:paraId="28F1B34B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现场服务时，要遵守甲方的有关规章制度，做到安全操作。</w:t>
      </w:r>
    </w:p>
    <w:p w14:paraId="5603DC0B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333333"/>
          <w:kern w:val="0"/>
          <w:sz w:val="32"/>
          <w:szCs w:val="32"/>
          <w:lang w:val="en-US" w:eastAsia="zh-CN" w:bidi="ar-SA"/>
        </w:rPr>
        <w:t>5、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落实甲方提出的整改或合理化建议，逐项整改并向甲方反馈。</w:t>
      </w:r>
    </w:p>
    <w:p w14:paraId="6F0D1894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八、违约责任</w:t>
      </w:r>
    </w:p>
    <w:p w14:paraId="583BDB6B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乙方如在进场施工一个月后不能降低虫害密度至合同约定水平，甲方有权单方面通知乙方终止合同，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且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支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付</w:t>
      </w: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费用。</w:t>
      </w:r>
    </w:p>
    <w:p w14:paraId="27BD0A6C">
      <w:pPr>
        <w:pStyle w:val="2"/>
        <w:ind w:firstLine="640" w:firstLineChars="200"/>
        <w:rPr>
          <w:rFonts w:hint="default" w:eastAsia="方正仿宋简体"/>
          <w:lang w:val="en-US" w:eastAsia="zh-CN"/>
        </w:rPr>
      </w:pPr>
      <w:r>
        <w:rPr>
          <w:rFonts w:hint="eastAsia" w:eastAsia="方正仿宋简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乙方履行合同时存在任何违约行为的，应向甲方偿付合同金额10%的违约金并赔偿由此带来的一切损失，包括且不限于甲方为实现债权产生的诉讼费、保全费、保全保险费、律师费、公证费、差旅费等全部费用。</w:t>
      </w:r>
    </w:p>
    <w:p w14:paraId="49E3C81E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九、甲、乙双方约定的其他事项</w:t>
      </w:r>
    </w:p>
    <w:p w14:paraId="5B915C87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本合同期满，双方如无异议，则合同自动顺延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一年</w:t>
      </w: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5A0561E6"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十、争议的解决</w:t>
      </w:r>
    </w:p>
    <w:p w14:paraId="449601D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本合同未尽事宜，双方友好协商解决，签订补充协议，如协商不成可向合同签订所在地的仲裁机构起诉。</w:t>
      </w:r>
    </w:p>
    <w:p w14:paraId="1CDAB7A6">
      <w:pPr>
        <w:pStyle w:val="3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firstLine="643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本合同一式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份，甲方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执叁份，乙方执壹份，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代表签字或盖章后生效。</w:t>
      </w:r>
    </w:p>
    <w:p w14:paraId="16D9DB36">
      <w:pPr>
        <w:widowControl w:val="0"/>
        <w:numPr>
          <w:ilvl w:val="0"/>
          <w:numId w:val="0"/>
        </w:numPr>
        <w:jc w:val="both"/>
        <w:rPr>
          <w:rFonts w:hint="default"/>
        </w:rPr>
      </w:pPr>
    </w:p>
    <w:p w14:paraId="2BBB9A20">
      <w:pPr>
        <w:pStyle w:val="2"/>
        <w:rPr>
          <w:rFonts w:hint="default"/>
        </w:rPr>
      </w:pPr>
    </w:p>
    <w:p w14:paraId="261495AB">
      <w:pPr>
        <w:rPr>
          <w:rFonts w:hint="default"/>
        </w:rPr>
      </w:pP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16502B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61" w:type="dxa"/>
            <w:shd w:val="clear" w:color="auto" w:fill="auto"/>
          </w:tcPr>
          <w:p w14:paraId="744256E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333333"/>
                <w:kern w:val="0"/>
                <w:sz w:val="32"/>
                <w:szCs w:val="32"/>
              </w:rPr>
              <w:t xml:space="preserve">甲方： </w:t>
            </w:r>
          </w:p>
        </w:tc>
        <w:tc>
          <w:tcPr>
            <w:tcW w:w="4261" w:type="dxa"/>
            <w:shd w:val="clear" w:color="auto" w:fill="auto"/>
          </w:tcPr>
          <w:p w14:paraId="1BE38DD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乙方：</w:t>
            </w:r>
          </w:p>
        </w:tc>
      </w:tr>
      <w:tr w14:paraId="774F5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61" w:type="dxa"/>
            <w:shd w:val="clear" w:color="auto" w:fill="auto"/>
          </w:tcPr>
          <w:p w14:paraId="5888EDD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333333"/>
                <w:kern w:val="0"/>
                <w:sz w:val="32"/>
                <w:szCs w:val="32"/>
              </w:rPr>
              <w:t xml:space="preserve">代表： </w:t>
            </w:r>
          </w:p>
        </w:tc>
        <w:tc>
          <w:tcPr>
            <w:tcW w:w="4261" w:type="dxa"/>
            <w:shd w:val="clear" w:color="auto" w:fill="auto"/>
          </w:tcPr>
          <w:p w14:paraId="5A6F0D8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代表：</w:t>
            </w:r>
          </w:p>
        </w:tc>
      </w:tr>
      <w:tr w14:paraId="01AE85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61" w:type="dxa"/>
            <w:shd w:val="clear" w:color="auto" w:fill="auto"/>
          </w:tcPr>
          <w:p w14:paraId="6EE5812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电话：</w:t>
            </w:r>
          </w:p>
        </w:tc>
        <w:tc>
          <w:tcPr>
            <w:tcW w:w="4261" w:type="dxa"/>
            <w:shd w:val="clear" w:color="auto" w:fill="auto"/>
          </w:tcPr>
          <w:p w14:paraId="507B9EA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电话：</w:t>
            </w:r>
          </w:p>
        </w:tc>
      </w:tr>
      <w:tr w14:paraId="55BF0A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61" w:type="dxa"/>
            <w:shd w:val="clear" w:color="auto" w:fill="auto"/>
          </w:tcPr>
          <w:p w14:paraId="327151F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签订日期：</w:t>
            </w:r>
            <w:r>
              <w:rPr>
                <w:rFonts w:hint="default" w:ascii="Times New Roman" w:hAnsi="Times New Roman" w:eastAsia="方正仿宋简体" w:cs="Times New Roman"/>
                <w:color w:val="333333"/>
                <w:kern w:val="0"/>
                <w:sz w:val="32"/>
                <w:szCs w:val="32"/>
              </w:rPr>
              <w:t>2024年   月   日</w:t>
            </w:r>
          </w:p>
        </w:tc>
        <w:tc>
          <w:tcPr>
            <w:tcW w:w="4261" w:type="dxa"/>
            <w:shd w:val="clear" w:color="auto" w:fill="auto"/>
          </w:tcPr>
          <w:p w14:paraId="0452FCB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签订日期：</w:t>
            </w:r>
            <w:r>
              <w:rPr>
                <w:rFonts w:hint="default" w:ascii="Times New Roman" w:hAnsi="Times New Roman" w:eastAsia="方正仿宋简体" w:cs="Times New Roman"/>
                <w:color w:val="333333"/>
                <w:kern w:val="0"/>
                <w:sz w:val="32"/>
                <w:szCs w:val="32"/>
              </w:rPr>
              <w:t>2024年   月   日</w:t>
            </w:r>
          </w:p>
        </w:tc>
      </w:tr>
    </w:tbl>
    <w:p w14:paraId="3F2A6238">
      <w:pPr>
        <w:pageBreakBefore w:val="0"/>
        <w:kinsoku/>
        <w:overflowPunct/>
        <w:topLinePunct w:val="0"/>
        <w:autoSpaceDE/>
        <w:autoSpaceDN/>
        <w:bidi w:val="0"/>
        <w:spacing w:line="600" w:lineRule="exact"/>
        <w:rPr>
          <w:rFonts w:hint="default" w:ascii="Times New Roman" w:hAnsi="Times New Roman" w:cs="Times New Roman"/>
          <w:lang w:val="en-US" w:eastAsia="zh-CN"/>
        </w:rPr>
      </w:pPr>
    </w:p>
    <w:p w14:paraId="32F625B9"/>
    <w:sectPr>
      <w:footerReference r:id="rId3" w:type="default"/>
      <w:pgSz w:w="11906" w:h="16838"/>
      <w:pgMar w:top="2098" w:right="1587" w:bottom="1587" w:left="1587" w:header="2098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0EE4D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F649C9">
                          <w:pPr>
                            <w:pStyle w:val="4"/>
                          </w:pPr>
                          <w:r>
                            <w:t>—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F649C9">
                    <w:pPr>
                      <w:pStyle w:val="4"/>
                    </w:pPr>
                    <w:r>
                      <w:t>—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14A5A3"/>
    <w:multiLevelType w:val="singleLevel"/>
    <w:tmpl w:val="3014A5A3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1YjZjMzgyNjczODY4ODk3Njk0YzI2YWEyNTliOWYifQ=="/>
  </w:docVars>
  <w:rsids>
    <w:rsidRoot w:val="016731DF"/>
    <w:rsid w:val="016731DF"/>
    <w:rsid w:val="03DF6697"/>
    <w:rsid w:val="0C6B2AD4"/>
    <w:rsid w:val="27D0434F"/>
    <w:rsid w:val="37BC23ED"/>
    <w:rsid w:val="55166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39"/>
    <w:rPr>
      <w:szCs w:val="24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2133</Words>
  <Characters>2243</Characters>
  <Lines>0</Lines>
  <Paragraphs>0</Paragraphs>
  <TotalTime>82</TotalTime>
  <ScaleCrop>false</ScaleCrop>
  <LinksUpToDate>false</LinksUpToDate>
  <CharactersWithSpaces>2407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2024-08-29T08:10:00Z</dcterms:created>
  <dc:creator>WPS_1666964186</dc:creator>
  <cp:lastModifiedBy>喂V我很好</cp:lastModifiedBy>
  <cp:lastPrinted>2024-09-27T06:53:26Z</cp:lastPrinted>
  <dcterms:modified xsi:type="dcterms:W3CDTF">2024-09-27T07:20:48Z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948B040C7BAD4B6E91E700152BD36949_11</vt:lpwstr>
  </property>
</Properties>
</file>