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89DB3">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470826D8">
      <w:pPr>
        <w:rPr>
          <w:rFonts w:hint="eastAsia"/>
          <w:color w:val="auto"/>
          <w:highlight w:val="none"/>
        </w:rPr>
      </w:pPr>
    </w:p>
    <w:p w14:paraId="62A39FF2">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2AA4691B">
      <w:pPr>
        <w:spacing w:line="480" w:lineRule="auto"/>
        <w:rPr>
          <w:rFonts w:hint="eastAsia" w:ascii="黑体" w:eastAsia="黑体"/>
          <w:b/>
          <w:color w:val="auto"/>
          <w:sz w:val="24"/>
          <w:highlight w:val="none"/>
        </w:rPr>
      </w:pPr>
    </w:p>
    <w:p w14:paraId="1620BB8C">
      <w:pPr>
        <w:rPr>
          <w:rFonts w:hint="eastAsia" w:ascii="黑体" w:eastAsia="黑体"/>
          <w:b/>
          <w:color w:val="auto"/>
          <w:sz w:val="24"/>
          <w:highlight w:val="none"/>
        </w:rPr>
      </w:pPr>
    </w:p>
    <w:p w14:paraId="6827649D">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026DC735">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60274BBB">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3C0704F2">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5FC3648A">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4C8829DF">
      <w:pPr>
        <w:spacing w:line="780" w:lineRule="auto"/>
        <w:rPr>
          <w:rFonts w:hint="eastAsia" w:ascii="黑体" w:eastAsia="黑体"/>
          <w:b/>
          <w:color w:val="auto"/>
          <w:sz w:val="24"/>
          <w:highlight w:val="none"/>
          <w:u w:val="single"/>
        </w:rPr>
      </w:pPr>
    </w:p>
    <w:p w14:paraId="76E7BF43">
      <w:pPr>
        <w:spacing w:line="780" w:lineRule="auto"/>
        <w:rPr>
          <w:rFonts w:hint="eastAsia" w:ascii="黑体" w:eastAsia="黑体"/>
          <w:b/>
          <w:color w:val="auto"/>
          <w:sz w:val="24"/>
          <w:highlight w:val="none"/>
          <w:u w:val="single"/>
        </w:rPr>
      </w:pPr>
    </w:p>
    <w:p w14:paraId="2E884D43">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4EBCBFBD">
      <w:pPr>
        <w:spacing w:line="780" w:lineRule="auto"/>
        <w:jc w:val="center"/>
        <w:rPr>
          <w:rFonts w:hint="eastAsia" w:ascii="宋体" w:hAnsi="宋体"/>
          <w:color w:val="auto"/>
          <w:sz w:val="24"/>
          <w:highlight w:val="none"/>
        </w:rPr>
      </w:pPr>
    </w:p>
    <w:p w14:paraId="204A9997">
      <w:pPr>
        <w:pStyle w:val="4"/>
        <w:rPr>
          <w:rFonts w:hint="eastAsia"/>
          <w:color w:val="auto"/>
          <w:highlight w:val="none"/>
        </w:rPr>
      </w:pPr>
    </w:p>
    <w:p w14:paraId="5A6D5EF0">
      <w:pPr>
        <w:rPr>
          <w:color w:val="auto"/>
          <w:highlight w:val="none"/>
        </w:rPr>
      </w:pPr>
    </w:p>
    <w:p w14:paraId="6B33743C">
      <w:pPr>
        <w:pStyle w:val="4"/>
        <w:jc w:val="center"/>
        <w:rPr>
          <w:rFonts w:hint="eastAsia" w:ascii="宋体" w:hAnsi="宋体"/>
          <w:b/>
          <w:bCs/>
          <w:color w:val="auto"/>
          <w:sz w:val="36"/>
          <w:szCs w:val="36"/>
          <w:highlight w:val="none"/>
        </w:rPr>
      </w:pPr>
    </w:p>
    <w:p w14:paraId="1ED2B8F5">
      <w:pPr>
        <w:pStyle w:val="4"/>
        <w:jc w:val="center"/>
        <w:rPr>
          <w:rFonts w:hint="eastAsia" w:ascii="宋体" w:hAnsi="宋体"/>
          <w:b/>
          <w:bCs/>
          <w:color w:val="auto"/>
          <w:sz w:val="36"/>
          <w:szCs w:val="36"/>
          <w:highlight w:val="none"/>
        </w:rPr>
      </w:pPr>
    </w:p>
    <w:p w14:paraId="2FE00F89">
      <w:pPr>
        <w:pStyle w:val="4"/>
        <w:keepNext w:val="0"/>
        <w:keepLines w:val="0"/>
        <w:pageBreakBefore w:val="0"/>
        <w:widowControl w:val="0"/>
        <w:kinsoku/>
        <w:wordWrap/>
        <w:overflowPunct/>
        <w:topLinePunct w:val="0"/>
        <w:autoSpaceDE/>
        <w:autoSpaceDN/>
        <w:bidi w:val="0"/>
        <w:adjustRightInd/>
        <w:snapToGrid/>
        <w:spacing w:after="0" w:line="500" w:lineRule="exact"/>
        <w:jc w:val="center"/>
        <w:textAlignment w:val="auto"/>
        <w:rPr>
          <w:rFonts w:hint="eastAsia"/>
          <w:b/>
          <w:bCs/>
          <w:color w:val="auto"/>
          <w:sz w:val="36"/>
          <w:szCs w:val="36"/>
          <w:highlight w:val="none"/>
        </w:rPr>
      </w:pPr>
      <w:r>
        <w:rPr>
          <w:rFonts w:hint="eastAsia" w:ascii="宋体" w:hAnsi="宋体"/>
          <w:b/>
          <w:bCs/>
          <w:color w:val="auto"/>
          <w:sz w:val="36"/>
          <w:szCs w:val="36"/>
          <w:highlight w:val="none"/>
        </w:rPr>
        <w:t>合同协议书</w:t>
      </w:r>
    </w:p>
    <w:p w14:paraId="461007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3FE52E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7B7125DA">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olor w:val="auto"/>
          <w:sz w:val="24"/>
          <w:highlight w:val="none"/>
          <w:lang w:val="en-US" w:eastAsia="zh-CN"/>
        </w:rPr>
        <w:t>德阳高新区民航飞行学院片区及航空社区老旧小区改造项目（二期）</w:t>
      </w:r>
      <w:r>
        <w:rPr>
          <w:rFonts w:hint="eastAsia" w:ascii="宋体" w:hAnsi="宋体" w:cs="Times New Roman"/>
          <w:color w:val="auto"/>
          <w:sz w:val="24"/>
          <w:highlight w:val="none"/>
          <w:lang w:val="en-US" w:eastAsia="zh-CN"/>
        </w:rPr>
        <w:t>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467A13A5">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rPr>
          <w:rFonts w:hint="eastAsia" w:ascii="宋体" w:hAnsi="宋体"/>
          <w:b/>
          <w:color w:val="auto"/>
          <w:sz w:val="24"/>
          <w:highlight w:val="none"/>
        </w:rPr>
      </w:pPr>
      <w:r>
        <w:rPr>
          <w:rFonts w:hint="eastAsia" w:ascii="宋体" w:hAnsi="宋体"/>
          <w:b/>
          <w:color w:val="auto"/>
          <w:sz w:val="24"/>
          <w:highlight w:val="none"/>
        </w:rPr>
        <w:t>第一条  审查咨询依据</w:t>
      </w:r>
    </w:p>
    <w:p w14:paraId="1C0DF7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1.1</w:t>
      </w:r>
      <w:r>
        <w:rPr>
          <w:rFonts w:hint="eastAsia" w:ascii="宋体" w:hAnsi="宋体"/>
          <w:color w:val="auto"/>
          <w:sz w:val="24"/>
          <w:highlight w:val="none"/>
          <w:lang w:val="en-US" w:eastAsia="zh-CN"/>
        </w:rPr>
        <w:t xml:space="preserve"> </w:t>
      </w:r>
      <w:r>
        <w:rPr>
          <w:rFonts w:hint="eastAsia" w:ascii="宋体" w:hAnsi="宋体"/>
          <w:color w:val="auto"/>
          <w:sz w:val="24"/>
          <w:highlight w:val="none"/>
        </w:rPr>
        <w:t>《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1EFA9E28">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739585A1">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1.3 建筑工程批准文件。</w:t>
      </w:r>
    </w:p>
    <w:p w14:paraId="536861D9">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07814B52">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olor w:val="auto"/>
          <w:sz w:val="24"/>
          <w:highlight w:val="none"/>
          <w:lang w:val="en-US" w:eastAsia="zh-CN"/>
        </w:rPr>
        <w:t>德阳高新区民航飞行学院片区及航空社区老旧小区改造项目（二期），项目总投资425万，建设包括改造房34栋，涉及户数900户，总建筑面积约5.3万m²，</w:t>
      </w:r>
      <w:r>
        <w:rPr>
          <w:rFonts w:hint="eastAsia" w:hAnsi="宋体"/>
          <w:color w:val="auto"/>
          <w:sz w:val="24"/>
          <w:szCs w:val="24"/>
          <w:highlight w:val="none"/>
          <w:lang w:val="en-US" w:eastAsia="zh-CN"/>
        </w:rPr>
        <w:t>本次改造共3栋楼（3#、4#、5#楼），建筑面积共计约1.8万平米，其中3#楼6层建面约3600平米，4#楼6层建面约7200平米，5#楼6层建面约7200平米，</w:t>
      </w:r>
      <w:r>
        <w:rPr>
          <w:rFonts w:hint="eastAsia" w:ascii="宋体" w:hAnsi="宋体"/>
          <w:color w:val="auto"/>
          <w:sz w:val="24"/>
          <w:highlight w:val="none"/>
          <w:lang w:val="en-US" w:eastAsia="zh-CN"/>
        </w:rPr>
        <w:t>实施内容包括屋面、立面、雨污水管网、燃气自来水、路面、安防设施等建筑物相关改造，</w:t>
      </w:r>
      <w:r>
        <w:rPr>
          <w:rFonts w:hint="eastAsia" w:ascii="宋体" w:hAnsi="宋体"/>
          <w:color w:val="auto"/>
          <w:sz w:val="24"/>
          <w:highlight w:val="none"/>
          <w:lang w:eastAsia="zh-CN"/>
        </w:rPr>
        <w:t>建筑</w:t>
      </w:r>
      <w:r>
        <w:rPr>
          <w:rFonts w:hint="eastAsia" w:ascii="宋体" w:hAnsi="宋体"/>
          <w:color w:val="auto"/>
          <w:sz w:val="24"/>
          <w:highlight w:val="none"/>
        </w:rPr>
        <w:t>工程施工图设计</w:t>
      </w:r>
      <w:r>
        <w:rPr>
          <w:rFonts w:hint="eastAsia" w:ascii="宋体" w:hAnsi="宋体"/>
          <w:color w:val="auto"/>
          <w:sz w:val="24"/>
          <w:highlight w:val="none"/>
          <w:lang w:eastAsia="zh-CN"/>
        </w:rPr>
        <w:t>技术审查包括外立面改造，周边配套道路以及停车位等。</w:t>
      </w:r>
    </w:p>
    <w:p w14:paraId="55C773B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2.2 项目地点：</w:t>
      </w:r>
      <w:r>
        <w:rPr>
          <w:rFonts w:hint="eastAsia" w:ascii="宋体" w:hAnsi="宋体"/>
          <w:color w:val="auto"/>
          <w:sz w:val="24"/>
          <w:highlight w:val="none"/>
          <w:lang w:eastAsia="zh-CN"/>
        </w:rPr>
        <w:t>德阳高新区三水镇航空社区</w:t>
      </w:r>
    </w:p>
    <w:p w14:paraId="6D3CE5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2CC3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508E947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审查</w:t>
            </w:r>
          </w:p>
          <w:p w14:paraId="7DC7D5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涉及</w:t>
            </w:r>
          </w:p>
          <w:p w14:paraId="1C4801B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1718D1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B4A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2EFE094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p>
        </w:tc>
        <w:tc>
          <w:tcPr>
            <w:tcW w:w="7718" w:type="dxa"/>
            <w:noWrap w:val="0"/>
            <w:vAlign w:val="center"/>
          </w:tcPr>
          <w:p w14:paraId="61A78E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风景园林</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557D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415321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p>
        </w:tc>
        <w:tc>
          <w:tcPr>
            <w:tcW w:w="7718" w:type="dxa"/>
            <w:noWrap w:val="0"/>
            <w:vAlign w:val="center"/>
          </w:tcPr>
          <w:p w14:paraId="4E8AF7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0DE1FC7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42E6F8C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2.4  审查内容</w:t>
      </w:r>
    </w:p>
    <w:p w14:paraId="666475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CB8BF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6C6C59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52F012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FB7934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BD2EFE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662956C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4B6B31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3D6CAF9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178B1347">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31087BC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9AD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D42EF2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61A054A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5AD6291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7E0A957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6F95709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备 注</w:t>
            </w:r>
          </w:p>
        </w:tc>
      </w:tr>
      <w:tr w14:paraId="4648E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33A6F1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337C22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7AD50B5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788D251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2F38BA0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rPr>
              <w:t>网上委托</w:t>
            </w:r>
          </w:p>
        </w:tc>
      </w:tr>
      <w:tr w14:paraId="4B12F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458A4D5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0859E85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5F3D6E2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314E82B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3FD06E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0A39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315927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216F668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418539C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5E52F4B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1B34D04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lang w:val="en-US" w:eastAsia="zh-CN"/>
              </w:rPr>
              <w:t>电子版</w:t>
            </w:r>
          </w:p>
        </w:tc>
      </w:tr>
      <w:tr w14:paraId="72D8C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30F6C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1851768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43277E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555269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31196EA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lang w:val="en-US" w:eastAsia="zh-CN"/>
              </w:rPr>
              <w:t>电子版</w:t>
            </w:r>
          </w:p>
        </w:tc>
      </w:tr>
      <w:tr w14:paraId="63AA9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229B17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14:paraId="2F0FFE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5F67A17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161DA8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6BEB408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rPr>
              <w:t>复印件</w:t>
            </w:r>
          </w:p>
        </w:tc>
      </w:tr>
    </w:tbl>
    <w:p w14:paraId="7289BF3A">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7161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719045D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DA1DE0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6AA4DA4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0F4DB20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4E75BFF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备注</w:t>
            </w:r>
          </w:p>
        </w:tc>
      </w:tr>
      <w:tr w14:paraId="0D39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3520486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3251E1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5F13E13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2D7FF46C">
            <w:pPr>
              <w:keepNext w:val="0"/>
              <w:keepLines w:val="0"/>
              <w:pageBreakBefore w:val="0"/>
              <w:widowControl w:val="0"/>
              <w:kinsoku/>
              <w:wordWrap/>
              <w:overflowPunct/>
              <w:topLinePunct w:val="0"/>
              <w:autoSpaceDE/>
              <w:autoSpaceDN/>
              <w:bidi w:val="0"/>
              <w:adjustRightInd/>
              <w:snapToGrid/>
              <w:spacing w:line="500" w:lineRule="exact"/>
              <w:ind w:leftChars="-1" w:hanging="2" w:hangingChars="1"/>
              <w:textAlignment w:val="auto"/>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14:paraId="0A6935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015FD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B81812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7790F4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2CD4E3A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7E1BC889">
            <w:pPr>
              <w:keepNext w:val="0"/>
              <w:keepLines w:val="0"/>
              <w:pageBreakBefore w:val="0"/>
              <w:widowControl w:val="0"/>
              <w:kinsoku/>
              <w:wordWrap/>
              <w:overflowPunct/>
              <w:topLinePunct w:val="0"/>
              <w:autoSpaceDE/>
              <w:autoSpaceDN/>
              <w:bidi w:val="0"/>
              <w:adjustRightInd/>
              <w:snapToGrid/>
              <w:spacing w:line="500" w:lineRule="exact"/>
              <w:ind w:left="630" w:hanging="630" w:hangingChars="300"/>
              <w:textAlignment w:val="auto"/>
              <w:rPr>
                <w:rFonts w:hint="eastAsia" w:ascii="宋体" w:hAnsi="宋体"/>
                <w:color w:val="auto"/>
                <w:szCs w:val="21"/>
                <w:highlight w:val="none"/>
              </w:rPr>
            </w:pPr>
          </w:p>
        </w:tc>
        <w:tc>
          <w:tcPr>
            <w:tcW w:w="1214" w:type="dxa"/>
            <w:vMerge w:val="continue"/>
            <w:noWrap w:val="0"/>
            <w:vAlign w:val="center"/>
          </w:tcPr>
          <w:p w14:paraId="5D69264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r w14:paraId="1EDB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DB81FE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37D71D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271BA31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6B3644E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1214" w:type="dxa"/>
            <w:vMerge w:val="continue"/>
            <w:noWrap w:val="0"/>
            <w:vAlign w:val="center"/>
          </w:tcPr>
          <w:p w14:paraId="2758A3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r w14:paraId="20F0C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C8FA4B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2774C074">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10EBD7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2769" w:type="dxa"/>
            <w:vMerge w:val="continue"/>
            <w:noWrap w:val="0"/>
            <w:vAlign w:val="center"/>
          </w:tcPr>
          <w:p w14:paraId="56E782A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1214" w:type="dxa"/>
            <w:vMerge w:val="continue"/>
            <w:noWrap w:val="0"/>
            <w:vAlign w:val="center"/>
          </w:tcPr>
          <w:p w14:paraId="1A693D9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bl>
    <w:p w14:paraId="415E5AB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245FD99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5.1、审查咨询费用</w:t>
      </w:r>
    </w:p>
    <w:p w14:paraId="24121784">
      <w:pPr>
        <w:pStyle w:val="3"/>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szCs w:val="24"/>
          <w:highlight w:val="none"/>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p>
    <w:p w14:paraId="640AAE4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5.2、付款方式 </w:t>
      </w:r>
    </w:p>
    <w:p w14:paraId="17E4A9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5.2.1乙方提交该项目全部图纸的审查报告及合格书，并完成主管部门施工图备案后，提交付款申请后15个工作日内，一次性付清全部费用。</w:t>
      </w:r>
    </w:p>
    <w:p w14:paraId="40AA9F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5.2.2</w:t>
      </w:r>
      <w:r>
        <w:rPr>
          <w:rFonts w:hint="default" w:ascii="宋体" w:hAnsi="宋体" w:cs="Times New Roman"/>
          <w:color w:val="auto"/>
          <w:sz w:val="24"/>
          <w:highlight w:val="none"/>
          <w:lang w:val="en-US" w:eastAsia="zh-CN"/>
        </w:rPr>
        <w:t>付款前，乙方应向甲方出具等额合法有效的增值税专用发票及付款申请材料，否则，甲方有权拒绝支付，且不承担任何迟延履行的法律责任。</w:t>
      </w:r>
    </w:p>
    <w:p w14:paraId="494B23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第六条  双方责任</w:t>
      </w:r>
    </w:p>
    <w:p w14:paraId="2629A0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047678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59A2D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5B53AD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0B1B227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7966F7D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7248B9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 乙方责任</w:t>
      </w:r>
    </w:p>
    <w:p w14:paraId="263C39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6E17BA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51512B0F">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3C0D13E1">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30F48605">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3F6E1620">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7C70A5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7E9E7B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1</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072D6D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28A7709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6F9CDEC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2FD877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bookmarkStart w:id="1" w:name="_GoBack"/>
      <w:bookmarkEnd w:id="1"/>
    </w:p>
    <w:p w14:paraId="1040F8E2">
      <w:pPr>
        <w:keepNext w:val="0"/>
        <w:keepLines w:val="0"/>
        <w:pageBreakBefore w:val="0"/>
        <w:widowControl w:val="0"/>
        <w:kinsoku/>
        <w:wordWrap/>
        <w:overflowPunct/>
        <w:topLinePunct w:val="0"/>
        <w:autoSpaceDE/>
        <w:autoSpaceDN/>
        <w:bidi w:val="0"/>
        <w:adjustRightInd/>
        <w:snapToGrid/>
        <w:spacing w:line="500" w:lineRule="exact"/>
        <w:ind w:firstLine="562"/>
        <w:textAlignment w:val="auto"/>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A356D5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39D57F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21AD166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1BBE3F6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0D6C7F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本合同一式伍份，甲方</w:t>
      </w:r>
      <w:r>
        <w:rPr>
          <w:rFonts w:hint="eastAsia" w:ascii="宋体" w:hAnsi="宋体"/>
          <w:color w:val="auto"/>
          <w:sz w:val="24"/>
          <w:highlight w:val="none"/>
          <w:lang w:val="en-US" w:eastAsia="zh-CN"/>
        </w:rPr>
        <w:t>叁</w:t>
      </w:r>
      <w:r>
        <w:rPr>
          <w:rFonts w:hint="eastAsia" w:ascii="宋体" w:hAnsi="宋体"/>
          <w:color w:val="auto"/>
          <w:sz w:val="24"/>
          <w:highlight w:val="none"/>
        </w:rPr>
        <w:t>份，乙方</w:t>
      </w:r>
      <w:r>
        <w:rPr>
          <w:rFonts w:hint="eastAsia" w:ascii="宋体" w:hAnsi="宋体"/>
          <w:color w:val="auto"/>
          <w:sz w:val="24"/>
          <w:highlight w:val="none"/>
          <w:lang w:val="en-US" w:eastAsia="zh-CN"/>
        </w:rPr>
        <w:t>贰</w:t>
      </w:r>
      <w:r>
        <w:rPr>
          <w:rFonts w:hint="eastAsia" w:ascii="宋体" w:hAnsi="宋体"/>
          <w:color w:val="auto"/>
          <w:sz w:val="24"/>
          <w:highlight w:val="none"/>
        </w:rPr>
        <w:t>份。</w:t>
      </w:r>
    </w:p>
    <w:p w14:paraId="272F5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4EE0F5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p>
    <w:p w14:paraId="14076412">
      <w:pPr>
        <w:keepNext w:val="0"/>
        <w:keepLines w:val="0"/>
        <w:pageBreakBefore w:val="0"/>
        <w:widowControl w:val="0"/>
        <w:kinsoku/>
        <w:wordWrap/>
        <w:overflowPunct/>
        <w:topLinePunct w:val="0"/>
        <w:autoSpaceDE/>
        <w:autoSpaceDN/>
        <w:bidi w:val="0"/>
        <w:adjustRightInd/>
        <w:snapToGrid/>
        <w:spacing w:line="500" w:lineRule="exact"/>
        <w:ind w:left="6000" w:right="-1413" w:rightChars="-673" w:hanging="6000" w:hangingChars="2500"/>
        <w:textAlignment w:val="auto"/>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47E57E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5F8278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449C05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66AB8D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692B9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48FCE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2277FE46">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66E06">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FF276B">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CFF276B">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NGJmZDc3ZjA3YTAwYjE2ODUyNTg5NDBhNjNiNzYifQ=="/>
  </w:docVars>
  <w:rsids>
    <w:rsidRoot w:val="00000000"/>
    <w:rsid w:val="0146180C"/>
    <w:rsid w:val="03612D93"/>
    <w:rsid w:val="04484026"/>
    <w:rsid w:val="145E758E"/>
    <w:rsid w:val="1A623CC5"/>
    <w:rsid w:val="1E9811D0"/>
    <w:rsid w:val="27AB5272"/>
    <w:rsid w:val="2B8B1F4C"/>
    <w:rsid w:val="2D657C06"/>
    <w:rsid w:val="38727227"/>
    <w:rsid w:val="3ADF1040"/>
    <w:rsid w:val="3FB6784C"/>
    <w:rsid w:val="43763CA7"/>
    <w:rsid w:val="4CCF4510"/>
    <w:rsid w:val="520779EE"/>
    <w:rsid w:val="59FE3FD8"/>
    <w:rsid w:val="5C961BA3"/>
    <w:rsid w:val="60B72158"/>
    <w:rsid w:val="68A62096"/>
    <w:rsid w:val="6C2F69D8"/>
    <w:rsid w:val="73330B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2960</Words>
  <Characters>3134</Characters>
  <Lines>0</Lines>
  <Paragraphs>0</Paragraphs>
  <TotalTime>1</TotalTime>
  <ScaleCrop>false</ScaleCrop>
  <LinksUpToDate>false</LinksUpToDate>
  <CharactersWithSpaces>3581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小毅哥</cp:lastModifiedBy>
  <cp:lastPrinted>2023-11-27T01:43:00Z</cp:lastPrinted>
  <dcterms:modified xsi:type="dcterms:W3CDTF">2024-09-29T03:02:22Z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FBC4198575F34B9CACABF9CB0A364357_13</vt:lpwstr>
  </property>
</Properties>
</file>