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145D4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附件3：</w:t>
      </w:r>
    </w:p>
    <w:p w14:paraId="34178B20">
      <w:pPr>
        <w:pStyle w:val="3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合同编号：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 xml:space="preserve">       </w:t>
      </w:r>
    </w:p>
    <w:p w14:paraId="397AD06D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rPr>
          <w:rFonts w:hint="default" w:ascii="Times New Roman" w:hAnsi="Times New Roman" w:eastAsia="方正仿宋简体" w:cs="Times New Roman"/>
          <w:sz w:val="32"/>
          <w:szCs w:val="32"/>
        </w:rPr>
      </w:pPr>
    </w:p>
    <w:p w14:paraId="7986EA84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rPr>
          <w:rFonts w:hint="default" w:ascii="Times New Roman" w:hAnsi="Times New Roman" w:eastAsia="方正仿宋简体" w:cs="Times New Roman"/>
          <w:sz w:val="32"/>
          <w:szCs w:val="32"/>
        </w:rPr>
      </w:pPr>
    </w:p>
    <w:p w14:paraId="785C1D3D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rPr>
          <w:rFonts w:hint="default" w:ascii="Times New Roman" w:hAnsi="Times New Roman" w:eastAsia="方正仿宋简体" w:cs="Times New Roman"/>
          <w:sz w:val="32"/>
          <w:szCs w:val="32"/>
        </w:rPr>
      </w:pPr>
    </w:p>
    <w:p w14:paraId="6861E230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德阳高新建材有限公司</w:t>
      </w:r>
    </w:p>
    <w:p w14:paraId="4410B9F3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广汉会展国际酒店分公司</w:t>
      </w:r>
    </w:p>
    <w:p w14:paraId="58FD1AEF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有害生物防治服务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及设备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采购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合同</w:t>
      </w:r>
    </w:p>
    <w:p w14:paraId="541909E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default" w:ascii="Times New Roman" w:hAnsi="Times New Roman" w:eastAsia="方正仿宋简体" w:cs="Times New Roman"/>
          <w:sz w:val="32"/>
          <w:szCs w:val="32"/>
        </w:rPr>
      </w:pPr>
    </w:p>
    <w:p w14:paraId="48D929A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default" w:ascii="Times New Roman" w:hAnsi="Times New Roman" w:eastAsia="方正仿宋简体" w:cs="Times New Roman"/>
          <w:sz w:val="32"/>
          <w:szCs w:val="32"/>
        </w:rPr>
      </w:pPr>
    </w:p>
    <w:p w14:paraId="5C64B82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default" w:ascii="Times New Roman" w:hAnsi="Times New Roman" w:eastAsia="方正仿宋简体" w:cs="Times New Roman"/>
          <w:sz w:val="32"/>
          <w:szCs w:val="32"/>
        </w:rPr>
      </w:pPr>
    </w:p>
    <w:p w14:paraId="3A1D15A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default" w:ascii="Times New Roman" w:hAnsi="Times New Roman" w:eastAsia="方正仿宋简体" w:cs="Times New Roman"/>
          <w:sz w:val="32"/>
          <w:szCs w:val="32"/>
        </w:rPr>
      </w:pPr>
    </w:p>
    <w:p w14:paraId="0F224EA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default" w:ascii="Times New Roman" w:hAnsi="Times New Roman" w:eastAsia="方正仿宋简体" w:cs="Times New Roman"/>
          <w:sz w:val="32"/>
          <w:szCs w:val="32"/>
        </w:rPr>
      </w:pPr>
    </w:p>
    <w:p w14:paraId="42B30378">
      <w:pPr>
        <w:pStyle w:val="2"/>
        <w:rPr>
          <w:rFonts w:hint="default" w:ascii="Times New Roman" w:hAnsi="Times New Roman" w:eastAsia="方正仿宋简体" w:cs="Times New Roman"/>
          <w:sz w:val="32"/>
          <w:szCs w:val="32"/>
        </w:rPr>
      </w:pPr>
    </w:p>
    <w:p w14:paraId="7EF169DF">
      <w:pPr>
        <w:rPr>
          <w:rFonts w:hint="default"/>
        </w:rPr>
      </w:pPr>
    </w:p>
    <w:p w14:paraId="3D064D4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default" w:ascii="Times New Roman" w:hAnsi="Times New Roman" w:eastAsia="方正仿宋简体" w:cs="Times New Roman"/>
          <w:sz w:val="32"/>
          <w:szCs w:val="32"/>
        </w:rPr>
      </w:pPr>
    </w:p>
    <w:p w14:paraId="33CA417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甲方（采购方）：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                        </w:t>
      </w:r>
    </w:p>
    <w:p w14:paraId="3193DAC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乙方（服务方）：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                        </w:t>
      </w:r>
    </w:p>
    <w:p w14:paraId="03B36CA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</w:pPr>
    </w:p>
    <w:p w14:paraId="0DA225C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  <w:t>根据《中华人民共和国民法典》和全国爱卫会、卫生部联合下发的《病媒生物预防控制管理规定》，经甲、乙双方协商，就甲方委托乙方防治有害生物服务事宜，签订以下服务合同，供双方共同遵守。</w:t>
      </w:r>
    </w:p>
    <w:p w14:paraId="0FDDBA87">
      <w:pPr>
        <w:pStyle w:val="3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firstLine="643" w:firstLineChars="200"/>
        <w:rPr>
          <w:rFonts w:hint="default" w:ascii="Times New Roman" w:hAnsi="Times New Roman" w:eastAsia="方正黑体简体" w:cs="Times New Roman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宋体" w:cs="Times New Roman"/>
          <w:b/>
          <w:bCs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方正黑体简体" w:cs="Times New Roman"/>
          <w:sz w:val="32"/>
          <w:szCs w:val="32"/>
        </w:rPr>
        <w:t>防治服务目标、服务方式</w:t>
      </w:r>
    </w:p>
    <w:p w14:paraId="7B63BF5D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  <w:lang w:val="en-US" w:eastAsia="zh-CN"/>
        </w:rPr>
        <w:t>1、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  <w:t>乙方根据甲方单位的特点和防治种类采取规范、综合防治措施，有效降低和控制卫生虫害密度并达到合同约定的密度控制水平。</w:t>
      </w:r>
    </w:p>
    <w:p w14:paraId="6845F415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  <w:lang w:val="en-US" w:eastAsia="zh-CN"/>
        </w:rPr>
        <w:t>2、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  <w:t>乙方派出专业防治技术人员，实施病媒生物控制国家标准规定的三防设施建设和完善。</w:t>
      </w:r>
    </w:p>
    <w:p w14:paraId="06F1FDFA">
      <w:pPr>
        <w:pStyle w:val="3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firstLine="643" w:firstLineChars="200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二、防治对象、范围及费用</w:t>
      </w:r>
    </w:p>
    <w:p w14:paraId="375953CB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  <w:lang w:val="en-US" w:eastAsia="zh-CN" w:bidi="ar-SA"/>
        </w:rPr>
        <w:t>1、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  <w:t>防治靶标害虫种类：_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  <w:u w:val="single"/>
        </w:rPr>
        <w:t>蟑螂，鼠类，苍蝇，蚊虫</w:t>
      </w:r>
      <w:r>
        <w:rPr>
          <w:rFonts w:hint="eastAsia" w:eastAsia="方正仿宋简体" w:cs="Times New Roman"/>
          <w:color w:val="333333"/>
          <w:kern w:val="0"/>
          <w:sz w:val="32"/>
          <w:szCs w:val="32"/>
          <w:u w:val="single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  <w:u w:val="single"/>
        </w:rPr>
        <w:t>蛇_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  <w:t>。若甲方发生非靶标害虫孳生、骚扰，乙方应免费提供虫害咨询和防治方案，防治费用双方另行协商，不包含在本合同中。</w:t>
      </w:r>
    </w:p>
    <w:p w14:paraId="07A01F6C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rPr>
          <w:rFonts w:hint="eastAsia" w:ascii="Times New Roman" w:hAnsi="Times New Roman" w:eastAsia="方正仿宋简体" w:cs="Times New Roman"/>
          <w:color w:val="333333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  <w:lang w:val="en-US" w:eastAsia="zh-CN" w:bidi="ar-SA"/>
        </w:rPr>
        <w:t>2、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  <w:t>防治范围是</w:t>
      </w:r>
      <w:r>
        <w:rPr>
          <w:rFonts w:hint="eastAsia" w:eastAsia="方正仿宋简体" w:cs="Times New Roman"/>
          <w:color w:val="333333"/>
          <w:kern w:val="0"/>
          <w:sz w:val="32"/>
          <w:szCs w:val="32"/>
          <w:u w:val="single"/>
          <w:lang w:val="en-US" w:eastAsia="zh-CN"/>
        </w:rPr>
        <w:t>广汉会展国际酒店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  <w:t>场所室内空间和所属外环境。防治面积：_</w:t>
      </w:r>
      <w:r>
        <w:rPr>
          <w:rFonts w:hint="eastAsia" w:eastAsia="方正仿宋简体" w:cs="Times New Roman"/>
          <w:color w:val="333333"/>
          <w:kern w:val="0"/>
          <w:sz w:val="32"/>
          <w:szCs w:val="32"/>
          <w:u w:val="single"/>
          <w:lang w:val="en-US" w:eastAsia="zh-CN"/>
        </w:rPr>
        <w:t>38646.27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  <w:t>平方米，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  <w:u w:val="none"/>
        </w:rPr>
        <w:t>含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  <w:t>地下室、建筑屋顶等附属设施</w:t>
      </w:r>
      <w:r>
        <w:rPr>
          <w:rFonts w:hint="eastAsia" w:eastAsia="方正仿宋简体" w:cs="Times New Roman"/>
          <w:color w:val="333333"/>
          <w:kern w:val="0"/>
          <w:sz w:val="32"/>
          <w:szCs w:val="32"/>
          <w:lang w:val="en-US" w:eastAsia="zh-CN"/>
        </w:rPr>
        <w:t>及周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  <w:t>围所属的广场、绿地</w:t>
      </w:r>
      <w:r>
        <w:rPr>
          <w:rFonts w:hint="eastAsia" w:eastAsia="方正仿宋简体" w:cs="Times New Roman"/>
          <w:color w:val="333333"/>
          <w:kern w:val="0"/>
          <w:sz w:val="32"/>
          <w:szCs w:val="32"/>
          <w:lang w:eastAsia="zh-CN"/>
        </w:rPr>
        <w:t>。</w:t>
      </w:r>
    </w:p>
    <w:p w14:paraId="65C7C191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38" w:leftChars="304" w:firstLine="0" w:firstLineChars="0"/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  <w:lang w:val="en-US" w:eastAsia="zh-CN" w:bidi="ar-SA"/>
        </w:rPr>
        <w:t>3</w:t>
      </w:r>
      <w:r>
        <w:rPr>
          <w:rFonts w:hint="eastAsia" w:eastAsia="方正仿宋简体" w:cs="Times New Roman"/>
          <w:color w:val="333333"/>
          <w:kern w:val="0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  <w:t>本项防治服务年服务费用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  <w:t>元整，折合每月服务费用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  <w:t>元整。</w:t>
      </w:r>
    </w:p>
    <w:p w14:paraId="4A31558D">
      <w:pPr>
        <w:pStyle w:val="2"/>
        <w:rPr>
          <w:rFonts w:hint="default" w:eastAsia="方正仿宋简体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  <w:r>
        <w:rPr>
          <w:rFonts w:hint="eastAsia" w:ascii="Times New Roman" w:hAnsi="Times New Roman" w:eastAsia="方正仿宋简体" w:cs="Times New Roman"/>
          <w:color w:val="333333"/>
          <w:kern w:val="0"/>
          <w:sz w:val="32"/>
          <w:szCs w:val="32"/>
          <w:lang w:val="en-US" w:eastAsia="zh-CN"/>
        </w:rPr>
        <w:t xml:space="preserve">  4、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  <w:t>本项防治</w:t>
      </w:r>
      <w:r>
        <w:rPr>
          <w:rFonts w:hint="eastAsia" w:eastAsia="方正仿宋简体" w:cs="Times New Roman"/>
          <w:color w:val="333333"/>
          <w:kern w:val="0"/>
          <w:sz w:val="32"/>
          <w:szCs w:val="32"/>
          <w:lang w:val="en-US" w:eastAsia="zh-CN"/>
        </w:rPr>
        <w:t>设备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  <w:t>费用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  <w:t>元整</w:t>
      </w:r>
      <w:r>
        <w:rPr>
          <w:rFonts w:hint="eastAsia" w:eastAsia="方正仿宋简体" w:cs="Times New Roman"/>
          <w:color w:val="333333"/>
          <w:kern w:val="0"/>
          <w:sz w:val="32"/>
          <w:szCs w:val="32"/>
          <w:lang w:val="en-US" w:eastAsia="zh-CN"/>
        </w:rPr>
        <w:t>。</w:t>
      </w:r>
    </w:p>
    <w:p w14:paraId="0274AC11">
      <w:pPr>
        <w:pStyle w:val="3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firstLine="643" w:firstLineChars="200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三、消杀标准及服务频率</w:t>
      </w:r>
    </w:p>
    <w:p w14:paraId="1CDA980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表1 有害生物控制达标要求</w:t>
      </w:r>
    </w:p>
    <w:tbl>
      <w:tblPr>
        <w:tblStyle w:val="5"/>
        <w:tblW w:w="9859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61"/>
        <w:gridCol w:w="7998"/>
      </w:tblGrid>
      <w:tr w14:paraId="47FF5D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1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837391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防治靶标害虫</w:t>
            </w:r>
          </w:p>
        </w:tc>
        <w:tc>
          <w:tcPr>
            <w:tcW w:w="79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733017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防治目标</w:t>
            </w:r>
          </w:p>
        </w:tc>
      </w:tr>
      <w:tr w14:paraId="261A73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1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41A8CF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鼠类</w:t>
            </w:r>
          </w:p>
        </w:tc>
        <w:tc>
          <w:tcPr>
            <w:tcW w:w="79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45464A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国标《GB/T 27770-2011 病媒生物密度防治水平 鼠类》规定的单位鼠密度防治标准C级</w:t>
            </w:r>
          </w:p>
        </w:tc>
      </w:tr>
      <w:tr w14:paraId="281CF3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1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67046C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蟑螂</w:t>
            </w:r>
          </w:p>
        </w:tc>
        <w:tc>
          <w:tcPr>
            <w:tcW w:w="79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253F69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国标《GB/T 27773-2011 病媒生物密度防治水平 蜚蠊》规定的单位蟑螂密度防治标准C级</w:t>
            </w:r>
          </w:p>
        </w:tc>
      </w:tr>
      <w:tr w14:paraId="2B5E08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jc w:val="center"/>
        </w:trPr>
        <w:tc>
          <w:tcPr>
            <w:tcW w:w="1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1741C8D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蝇类</w:t>
            </w:r>
          </w:p>
        </w:tc>
        <w:tc>
          <w:tcPr>
            <w:tcW w:w="79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2BFF346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国标《GB/T 27772-2011 病媒生物密度防治水平 蝇类》规定的单位蝇密度防治标准C级</w:t>
            </w:r>
          </w:p>
        </w:tc>
      </w:tr>
      <w:tr w14:paraId="13D091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jc w:val="center"/>
        </w:trPr>
        <w:tc>
          <w:tcPr>
            <w:tcW w:w="1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AC90CC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蚊虫</w:t>
            </w:r>
          </w:p>
        </w:tc>
        <w:tc>
          <w:tcPr>
            <w:tcW w:w="79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2220119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国标《GB/T 27771-2011 病媒生物密度防治水平 蚊虫》规定的单位蚊虫密度防治标准C级</w:t>
            </w:r>
          </w:p>
        </w:tc>
      </w:tr>
    </w:tbl>
    <w:p w14:paraId="59B1902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rPr>
          <w:rFonts w:hint="default" w:ascii="Times New Roman" w:hAnsi="Times New Roman" w:eastAsia="方正仿宋简体" w:cs="Times New Roman"/>
          <w:b/>
          <w:bCs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333333"/>
          <w:kern w:val="0"/>
          <w:sz w:val="32"/>
          <w:szCs w:val="32"/>
        </w:rPr>
        <w:tab/>
      </w:r>
    </w:p>
    <w:p w14:paraId="26016FC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表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 xml:space="preserve"> 有害生物控制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>实施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服务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要求</w:t>
      </w:r>
    </w:p>
    <w:tbl>
      <w:tblPr>
        <w:tblStyle w:val="6"/>
        <w:tblpPr w:leftFromText="180" w:rightFromText="180" w:vertAnchor="text" w:horzAnchor="page" w:tblpXSpec="center" w:tblpY="451"/>
        <w:tblOverlap w:val="never"/>
        <w:tblW w:w="10038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7"/>
        <w:gridCol w:w="1352"/>
        <w:gridCol w:w="3089"/>
        <w:gridCol w:w="1603"/>
        <w:gridCol w:w="2687"/>
      </w:tblGrid>
      <w:tr w14:paraId="2F8F258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307" w:type="dxa"/>
            <w:vAlign w:val="center"/>
          </w:tcPr>
          <w:p w14:paraId="3248DEB8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处理区域</w:t>
            </w:r>
          </w:p>
        </w:tc>
        <w:tc>
          <w:tcPr>
            <w:tcW w:w="1352" w:type="dxa"/>
            <w:vAlign w:val="center"/>
          </w:tcPr>
          <w:p w14:paraId="65213152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靶标害虫</w:t>
            </w:r>
          </w:p>
        </w:tc>
        <w:tc>
          <w:tcPr>
            <w:tcW w:w="3089" w:type="dxa"/>
            <w:vAlign w:val="center"/>
          </w:tcPr>
          <w:p w14:paraId="157E6666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实施措施</w:t>
            </w:r>
          </w:p>
        </w:tc>
        <w:tc>
          <w:tcPr>
            <w:tcW w:w="1603" w:type="dxa"/>
            <w:vAlign w:val="center"/>
          </w:tcPr>
          <w:p w14:paraId="75D8A5B1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实施频率</w:t>
            </w:r>
          </w:p>
        </w:tc>
        <w:tc>
          <w:tcPr>
            <w:tcW w:w="2687" w:type="dxa"/>
            <w:vAlign w:val="center"/>
          </w:tcPr>
          <w:p w14:paraId="5D3822F2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实施要求</w:t>
            </w:r>
          </w:p>
        </w:tc>
      </w:tr>
      <w:tr w14:paraId="6FF0488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307" w:type="dxa"/>
            <w:vMerge w:val="restart"/>
            <w:vAlign w:val="center"/>
          </w:tcPr>
          <w:p w14:paraId="0875C6AA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04088148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268B641F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外环境</w:t>
            </w:r>
          </w:p>
        </w:tc>
        <w:tc>
          <w:tcPr>
            <w:tcW w:w="1352" w:type="dxa"/>
            <w:vAlign w:val="center"/>
          </w:tcPr>
          <w:p w14:paraId="3FE73C5D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鼠类</w:t>
            </w:r>
          </w:p>
        </w:tc>
        <w:tc>
          <w:tcPr>
            <w:tcW w:w="3089" w:type="dxa"/>
            <w:vAlign w:val="center"/>
          </w:tcPr>
          <w:p w14:paraId="25735070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设立毒饵站、巡查、定点灭鼠</w:t>
            </w:r>
          </w:p>
        </w:tc>
        <w:tc>
          <w:tcPr>
            <w:tcW w:w="1603" w:type="dxa"/>
            <w:vMerge w:val="restart"/>
            <w:vAlign w:val="center"/>
          </w:tcPr>
          <w:p w14:paraId="5B4FF698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每月4次</w:t>
            </w:r>
          </w:p>
        </w:tc>
        <w:tc>
          <w:tcPr>
            <w:tcW w:w="2687" w:type="dxa"/>
            <w:vMerge w:val="restart"/>
            <w:vAlign w:val="center"/>
          </w:tcPr>
          <w:p w14:paraId="488D6CF0">
            <w:pPr>
              <w:pStyle w:val="8"/>
              <w:pageBreakBefore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left="420" w:leftChars="0" w:hanging="42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每次服务提交施工报告</w:t>
            </w:r>
          </w:p>
          <w:p w14:paraId="2979E7F6">
            <w:pPr>
              <w:pStyle w:val="8"/>
              <w:pageBreakBefore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left="420" w:leftChars="0" w:hanging="42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每月针对环境卫生、三防设施提交完善建议</w:t>
            </w:r>
          </w:p>
          <w:p w14:paraId="02A62498">
            <w:pPr>
              <w:pStyle w:val="8"/>
              <w:pageBreakBefore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left="420" w:leftChars="0" w:hanging="42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每季度提交虫害分析报告（含趋势分析）。</w:t>
            </w:r>
          </w:p>
        </w:tc>
      </w:tr>
      <w:tr w14:paraId="78522E9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6" w:hRule="atLeast"/>
          <w:jc w:val="center"/>
        </w:trPr>
        <w:tc>
          <w:tcPr>
            <w:tcW w:w="1307" w:type="dxa"/>
            <w:vMerge w:val="continue"/>
            <w:vAlign w:val="center"/>
          </w:tcPr>
          <w:p w14:paraId="5F453095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vAlign w:val="center"/>
          </w:tcPr>
          <w:p w14:paraId="7F8910BD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飞虫</w:t>
            </w:r>
          </w:p>
        </w:tc>
        <w:tc>
          <w:tcPr>
            <w:tcW w:w="3089" w:type="dxa"/>
            <w:vAlign w:val="center"/>
          </w:tcPr>
          <w:p w14:paraId="75926181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在外环境拟建立害虫入侵阻断带，用药物阻断害虫入侵，并处理蚊蝇孳生地。</w:t>
            </w:r>
          </w:p>
        </w:tc>
        <w:tc>
          <w:tcPr>
            <w:tcW w:w="1603" w:type="dxa"/>
            <w:vMerge w:val="continue"/>
            <w:vAlign w:val="center"/>
          </w:tcPr>
          <w:p w14:paraId="689CB344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87" w:type="dxa"/>
            <w:vMerge w:val="continue"/>
            <w:vAlign w:val="center"/>
          </w:tcPr>
          <w:p w14:paraId="7A1E55CA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3CC46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1307" w:type="dxa"/>
            <w:vMerge w:val="continue"/>
            <w:vAlign w:val="center"/>
          </w:tcPr>
          <w:p w14:paraId="4F8B02EE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vAlign w:val="center"/>
          </w:tcPr>
          <w:p w14:paraId="102B9BA6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爬虫</w:t>
            </w:r>
          </w:p>
        </w:tc>
        <w:tc>
          <w:tcPr>
            <w:tcW w:w="3089" w:type="dxa"/>
            <w:vAlign w:val="center"/>
          </w:tcPr>
          <w:p w14:paraId="60B571E1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巡查入侵通道， 滞留喷洒药物阻断入侵</w:t>
            </w:r>
          </w:p>
        </w:tc>
        <w:tc>
          <w:tcPr>
            <w:tcW w:w="1603" w:type="dxa"/>
            <w:vMerge w:val="continue"/>
            <w:vAlign w:val="center"/>
          </w:tcPr>
          <w:p w14:paraId="2E2A5389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87" w:type="dxa"/>
            <w:vMerge w:val="continue"/>
            <w:vAlign w:val="center"/>
          </w:tcPr>
          <w:p w14:paraId="59422BC7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0713EE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307" w:type="dxa"/>
            <w:vMerge w:val="continue"/>
            <w:vAlign w:val="center"/>
          </w:tcPr>
          <w:p w14:paraId="4FC0D318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vAlign w:val="center"/>
          </w:tcPr>
          <w:p w14:paraId="241AC6DB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蛇类</w:t>
            </w:r>
          </w:p>
        </w:tc>
        <w:tc>
          <w:tcPr>
            <w:tcW w:w="3089" w:type="dxa"/>
            <w:vAlign w:val="center"/>
          </w:tcPr>
          <w:p w14:paraId="696F093A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防蛇装置+驱蛇药粉</w:t>
            </w:r>
          </w:p>
        </w:tc>
        <w:tc>
          <w:tcPr>
            <w:tcW w:w="1603" w:type="dxa"/>
            <w:vMerge w:val="continue"/>
            <w:vAlign w:val="center"/>
          </w:tcPr>
          <w:p w14:paraId="3CE2CC6C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87" w:type="dxa"/>
            <w:vMerge w:val="continue"/>
            <w:vAlign w:val="center"/>
          </w:tcPr>
          <w:p w14:paraId="47306D56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B5D90D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780" w:hRule="atLeast"/>
          <w:jc w:val="center"/>
        </w:trPr>
        <w:tc>
          <w:tcPr>
            <w:tcW w:w="1307" w:type="dxa"/>
            <w:vMerge w:val="restart"/>
            <w:vAlign w:val="center"/>
          </w:tcPr>
          <w:p w14:paraId="23292449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1F379594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0E55F337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建筑四周</w:t>
            </w:r>
          </w:p>
        </w:tc>
        <w:tc>
          <w:tcPr>
            <w:tcW w:w="1352" w:type="dxa"/>
            <w:vAlign w:val="center"/>
          </w:tcPr>
          <w:p w14:paraId="3B4E7828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鼠类</w:t>
            </w:r>
          </w:p>
        </w:tc>
        <w:tc>
          <w:tcPr>
            <w:tcW w:w="3089" w:type="dxa"/>
            <w:vAlign w:val="center"/>
          </w:tcPr>
          <w:p w14:paraId="2050F522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设立毒饵站、巡查、定点灭鼠</w:t>
            </w:r>
          </w:p>
        </w:tc>
        <w:tc>
          <w:tcPr>
            <w:tcW w:w="1603" w:type="dxa"/>
            <w:vMerge w:val="continue"/>
            <w:vAlign w:val="center"/>
          </w:tcPr>
          <w:p w14:paraId="3D531C3A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87" w:type="dxa"/>
            <w:vMerge w:val="continue"/>
            <w:vAlign w:val="center"/>
          </w:tcPr>
          <w:p w14:paraId="266F7147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BBD039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307" w:type="dxa"/>
            <w:vMerge w:val="continue"/>
            <w:vAlign w:val="center"/>
          </w:tcPr>
          <w:p w14:paraId="4D79F157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vAlign w:val="center"/>
          </w:tcPr>
          <w:p w14:paraId="0D4B2899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飞虫</w:t>
            </w:r>
          </w:p>
        </w:tc>
        <w:tc>
          <w:tcPr>
            <w:tcW w:w="3089" w:type="dxa"/>
            <w:vAlign w:val="center"/>
          </w:tcPr>
          <w:p w14:paraId="0E76DF30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巡查入侵通道，提出完善建议</w:t>
            </w:r>
          </w:p>
        </w:tc>
        <w:tc>
          <w:tcPr>
            <w:tcW w:w="1603" w:type="dxa"/>
            <w:vMerge w:val="continue"/>
            <w:vAlign w:val="center"/>
          </w:tcPr>
          <w:p w14:paraId="77EA926C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87" w:type="dxa"/>
            <w:vMerge w:val="continue"/>
            <w:vAlign w:val="center"/>
          </w:tcPr>
          <w:p w14:paraId="0192192C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FD5AF0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1307" w:type="dxa"/>
            <w:vMerge w:val="continue"/>
            <w:vAlign w:val="center"/>
          </w:tcPr>
          <w:p w14:paraId="2CCD890B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vAlign w:val="center"/>
          </w:tcPr>
          <w:p w14:paraId="26F7AECF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爬虫</w:t>
            </w:r>
          </w:p>
        </w:tc>
        <w:tc>
          <w:tcPr>
            <w:tcW w:w="3089" w:type="dxa"/>
            <w:vAlign w:val="center"/>
          </w:tcPr>
          <w:p w14:paraId="78AAC4BD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巡查入侵通道， 滞留喷洒药物阻断入侵</w:t>
            </w:r>
          </w:p>
        </w:tc>
        <w:tc>
          <w:tcPr>
            <w:tcW w:w="1603" w:type="dxa"/>
            <w:vMerge w:val="continue"/>
            <w:vAlign w:val="center"/>
          </w:tcPr>
          <w:p w14:paraId="5A671DC2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87" w:type="dxa"/>
            <w:vMerge w:val="continue"/>
            <w:vAlign w:val="center"/>
          </w:tcPr>
          <w:p w14:paraId="788E6AD2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20FBEB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743" w:hRule="atLeast"/>
          <w:jc w:val="center"/>
        </w:trPr>
        <w:tc>
          <w:tcPr>
            <w:tcW w:w="1307" w:type="dxa"/>
            <w:vMerge w:val="continue"/>
            <w:vAlign w:val="center"/>
          </w:tcPr>
          <w:p w14:paraId="710969DC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vAlign w:val="center"/>
          </w:tcPr>
          <w:p w14:paraId="133D0AF5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蛇类</w:t>
            </w:r>
          </w:p>
        </w:tc>
        <w:tc>
          <w:tcPr>
            <w:tcW w:w="3089" w:type="dxa"/>
            <w:vAlign w:val="center"/>
          </w:tcPr>
          <w:p w14:paraId="13ECAE4E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防蛇装置+驱蛇药粉</w:t>
            </w:r>
          </w:p>
        </w:tc>
        <w:tc>
          <w:tcPr>
            <w:tcW w:w="1603" w:type="dxa"/>
            <w:vMerge w:val="continue"/>
            <w:vAlign w:val="center"/>
          </w:tcPr>
          <w:p w14:paraId="07D4EA2B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87" w:type="dxa"/>
            <w:vMerge w:val="continue"/>
            <w:vAlign w:val="center"/>
          </w:tcPr>
          <w:p w14:paraId="6E2BD28F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37C171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1307" w:type="dxa"/>
            <w:vMerge w:val="restart"/>
            <w:vAlign w:val="center"/>
          </w:tcPr>
          <w:p w14:paraId="3026B202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755F3CDE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55685E7D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建筑内部</w:t>
            </w:r>
          </w:p>
        </w:tc>
        <w:tc>
          <w:tcPr>
            <w:tcW w:w="1352" w:type="dxa"/>
            <w:vAlign w:val="center"/>
          </w:tcPr>
          <w:p w14:paraId="6C6BE7B6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鼠类</w:t>
            </w:r>
          </w:p>
        </w:tc>
        <w:tc>
          <w:tcPr>
            <w:tcW w:w="3089" w:type="dxa"/>
            <w:vAlign w:val="center"/>
          </w:tcPr>
          <w:p w14:paraId="06920BEA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毒饵灭鼠、器械捕鼠</w:t>
            </w:r>
            <w:r>
              <w:rPr>
                <w:rFonts w:hint="eastAsia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（粘鼠板、鼠夹）</w:t>
            </w: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、持续监控</w:t>
            </w:r>
          </w:p>
        </w:tc>
        <w:tc>
          <w:tcPr>
            <w:tcW w:w="1603" w:type="dxa"/>
            <w:vMerge w:val="continue"/>
            <w:vAlign w:val="center"/>
          </w:tcPr>
          <w:p w14:paraId="70104513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87" w:type="dxa"/>
            <w:vMerge w:val="continue"/>
            <w:vAlign w:val="center"/>
          </w:tcPr>
          <w:p w14:paraId="1FDA72E8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9B2959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1307" w:type="dxa"/>
            <w:vMerge w:val="continue"/>
            <w:vAlign w:val="center"/>
          </w:tcPr>
          <w:p w14:paraId="006E18A6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vAlign w:val="center"/>
          </w:tcPr>
          <w:p w14:paraId="4A278929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飞虫</w:t>
            </w:r>
          </w:p>
        </w:tc>
        <w:tc>
          <w:tcPr>
            <w:tcW w:w="3089" w:type="dxa"/>
            <w:vAlign w:val="center"/>
          </w:tcPr>
          <w:p w14:paraId="0CB0B8CE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物理防治、超低空间喷雾、定点滞留喷洒</w:t>
            </w:r>
          </w:p>
        </w:tc>
        <w:tc>
          <w:tcPr>
            <w:tcW w:w="1603" w:type="dxa"/>
            <w:vMerge w:val="continue"/>
            <w:vAlign w:val="center"/>
          </w:tcPr>
          <w:p w14:paraId="2B052891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87" w:type="dxa"/>
            <w:vMerge w:val="continue"/>
            <w:vAlign w:val="center"/>
          </w:tcPr>
          <w:p w14:paraId="5D80E862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3A2F5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7" w:hRule="atLeast"/>
          <w:jc w:val="center"/>
        </w:trPr>
        <w:tc>
          <w:tcPr>
            <w:tcW w:w="1307" w:type="dxa"/>
            <w:vMerge w:val="continue"/>
            <w:vAlign w:val="center"/>
          </w:tcPr>
          <w:p w14:paraId="65178764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vAlign w:val="center"/>
          </w:tcPr>
          <w:p w14:paraId="676D2B4B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爬虫</w:t>
            </w:r>
          </w:p>
        </w:tc>
        <w:tc>
          <w:tcPr>
            <w:tcW w:w="3089" w:type="dxa"/>
            <w:vAlign w:val="center"/>
          </w:tcPr>
          <w:p w14:paraId="46C49C88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胶饵颗粒毒饵诱杀、滞留喷洒触杀粉剂</w:t>
            </w:r>
          </w:p>
        </w:tc>
        <w:tc>
          <w:tcPr>
            <w:tcW w:w="1603" w:type="dxa"/>
            <w:vMerge w:val="continue"/>
            <w:vAlign w:val="center"/>
          </w:tcPr>
          <w:p w14:paraId="6A904748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87" w:type="dxa"/>
            <w:vMerge w:val="continue"/>
            <w:vAlign w:val="center"/>
          </w:tcPr>
          <w:p w14:paraId="5DBC97CE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32EC1AB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rPr>
          <w:rFonts w:hint="eastAsia" w:eastAsia="方正仿宋简体" w:cs="Times New Roman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73B87323">
      <w:pPr>
        <w:pStyle w:val="2"/>
        <w:rPr>
          <w:rFonts w:hint="eastAsia"/>
          <w:lang w:val="en-US" w:eastAsia="zh-CN"/>
        </w:rPr>
      </w:pPr>
    </w:p>
    <w:p w14:paraId="7599A68B">
      <w:pPr>
        <w:rPr>
          <w:rFonts w:hint="eastAsia"/>
          <w:lang w:val="en-US" w:eastAsia="zh-CN"/>
        </w:rPr>
      </w:pPr>
    </w:p>
    <w:p w14:paraId="649CEBE4">
      <w:pPr>
        <w:pStyle w:val="2"/>
        <w:rPr>
          <w:rFonts w:hint="eastAsia"/>
          <w:lang w:val="en-US" w:eastAsia="zh-CN"/>
        </w:rPr>
      </w:pPr>
    </w:p>
    <w:p w14:paraId="7A470178">
      <w:pPr>
        <w:rPr>
          <w:rFonts w:hint="eastAsia"/>
          <w:lang w:val="en-US" w:eastAsia="zh-CN"/>
        </w:rPr>
      </w:pPr>
    </w:p>
    <w:p w14:paraId="76C2D59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rPr>
          <w:rFonts w:hint="eastAsia" w:eastAsia="方正仿宋简体" w:cs="Times New Roman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方正仿宋简体" w:cs="Times New Roman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表3有害生物防治设备明细及要求</w:t>
      </w:r>
    </w:p>
    <w:p w14:paraId="6C0DCDD9">
      <w:pPr>
        <w:pStyle w:val="2"/>
        <w:rPr>
          <w:rFonts w:hint="eastAsia" w:eastAsia="方正仿宋简体" w:cs="Times New Roman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05B7561">
      <w:pPr>
        <w:rPr>
          <w:rFonts w:hint="eastAsia"/>
          <w:lang w:val="en-US" w:eastAsia="zh-CN"/>
        </w:rPr>
      </w:pPr>
    </w:p>
    <w:tbl>
      <w:tblPr>
        <w:tblStyle w:val="5"/>
        <w:tblW w:w="93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084"/>
        <w:gridCol w:w="2002"/>
        <w:gridCol w:w="2205"/>
        <w:gridCol w:w="3361"/>
      </w:tblGrid>
      <w:tr w14:paraId="63A79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300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5F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广汉会展国际酒店虫控三防设备明细</w:t>
            </w:r>
          </w:p>
        </w:tc>
      </w:tr>
      <w:tr w14:paraId="6AFD47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9300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29FE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</w:tr>
      <w:tr w14:paraId="53AFBC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79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58413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类别</w:t>
            </w:r>
          </w:p>
        </w:tc>
        <w:tc>
          <w:tcPr>
            <w:tcW w:w="19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E1B4B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区域</w:t>
            </w:r>
          </w:p>
        </w:tc>
        <w:tc>
          <w:tcPr>
            <w:tcW w:w="2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198C6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数量  （个）</w:t>
            </w:r>
          </w:p>
        </w:tc>
        <w:tc>
          <w:tcPr>
            <w:tcW w:w="33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E08A2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26CB4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79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DB75B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EA70E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ABC0D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DBF55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F8B9E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D8ED1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三</w:t>
            </w:r>
          </w:p>
          <w:p w14:paraId="0F5CD1A1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防</w:t>
            </w:r>
          </w:p>
          <w:p w14:paraId="6B99D3CF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设</w:t>
            </w:r>
          </w:p>
          <w:p w14:paraId="4604230C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备</w:t>
            </w:r>
          </w:p>
        </w:tc>
        <w:tc>
          <w:tcPr>
            <w:tcW w:w="110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11455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蚊蝇灯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D3B72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厨  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A7B9A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703F5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捕之神灭蝇灯GM621，LED灯管，包含安装材料，安装人工等。</w:t>
            </w:r>
          </w:p>
        </w:tc>
      </w:tr>
      <w:tr w14:paraId="3DE3B6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0AF12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19B60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7101F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户  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3AB56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3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91996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69C1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C0B82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05D91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挡鼠板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3C32C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厨房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D4FFD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67B16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4个厨房所有进出口</w:t>
            </w:r>
          </w:p>
        </w:tc>
      </w:tr>
      <w:tr w14:paraId="4B536D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37725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2F233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翻板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D3B22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0D0E0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F9A18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用于厨房炒菜盛装调料</w:t>
            </w:r>
          </w:p>
        </w:tc>
      </w:tr>
      <w:tr w14:paraId="7380BB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F47A2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8B93B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斜坡踏板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EACCB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D92EC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6B77D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方便手推车进入</w:t>
            </w:r>
          </w:p>
        </w:tc>
      </w:tr>
      <w:tr w14:paraId="6C6BA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2894E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7768731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风幕机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E562E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厨房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148F7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3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843C1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米风风幕机大风量遥控款                      1.5米13台FM-1215B-Y    </w:t>
            </w:r>
          </w:p>
        </w:tc>
      </w:tr>
      <w:tr w14:paraId="084BB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93D7A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104B1F6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5A40A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35124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8417C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1.2米1台FM-1212B-Y </w:t>
            </w:r>
          </w:p>
        </w:tc>
      </w:tr>
      <w:tr w14:paraId="4ED4A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5B8F8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B84A2E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堵洞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C0F4FB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厨房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3FC97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FBEB50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堵洞，对厨房内通向外部的所有管道，下水口进行钢丝球、发泡剂封堵。外面管道进行防鼠刺安装。篦子待测量后订做，在排水口安装，篦子间隙或者网眼小于10mm。</w:t>
            </w:r>
          </w:p>
        </w:tc>
      </w:tr>
      <w:tr w14:paraId="018F93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9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A9CC0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8C0AF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下水道篦子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08152F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806F8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5C3CFE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D5394F5">
      <w:pPr>
        <w:pageBreakBefore w:val="0"/>
        <w:kinsoku/>
        <w:overflowPunct/>
        <w:topLinePunct w:val="0"/>
        <w:autoSpaceDE/>
        <w:autoSpaceDN/>
        <w:bidi w:val="0"/>
        <w:spacing w:line="600" w:lineRule="exact"/>
        <w:jc w:val="center"/>
        <w:rPr>
          <w:rFonts w:hint="default" w:ascii="Times New Roman" w:hAnsi="Times New Roman" w:eastAsia="方正仿宋简体" w:cs="Times New Roman"/>
          <w:color w:val="000000" w:themeColor="text1"/>
          <w:kern w:val="2"/>
          <w:sz w:val="21"/>
          <w:szCs w:val="21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46FC72C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rPr>
          <w:rFonts w:hint="default" w:ascii="Times New Roman" w:hAnsi="Times New Roman" w:eastAsia="方正仿宋简体" w:cs="Times New Roman"/>
          <w:bCs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经双方协商，乙方施工频率为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每月</w:t>
      </w:r>
      <w:r>
        <w:rPr>
          <w:rFonts w:hint="eastAsia" w:eastAsia="方正仿宋简体" w:cs="Times New Roman"/>
          <w:sz w:val="32"/>
          <w:szCs w:val="32"/>
          <w:u w:val="single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次</w:t>
      </w:r>
      <w:r>
        <w:rPr>
          <w:rFonts w:hint="default"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因虫鼠密度波动或发生例外情况，经双方协商，可以在不增加服务次数前提下，调整服务时间。若一方需要增加或减少服务频次，另一方应在3个工作日内回复，并协商一致。协商不成，按照第十条“争议的解决”处理。</w:t>
      </w:r>
    </w:p>
    <w:p w14:paraId="22ABF293">
      <w:pPr>
        <w:pStyle w:val="3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firstLine="643" w:firstLineChars="200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四、服务期限</w:t>
      </w:r>
    </w:p>
    <w:p w14:paraId="043E888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合同生效后乙方在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>1个工作日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内安排进场启动有害生物防治施工，合同期限为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>1年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，合同起止日期：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2024年  月  日 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至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2025年   月   日 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68FBEAC5">
      <w:pPr>
        <w:pStyle w:val="3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firstLine="643" w:firstLineChars="200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五、服务费用的支付方式</w:t>
      </w:r>
    </w:p>
    <w:p w14:paraId="702ABFD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eastAsia="方正仿宋简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有害生物防治设备费由甲方</w:t>
      </w:r>
      <w:r>
        <w:rPr>
          <w:rFonts w:hint="eastAsia" w:eastAsia="方正仿宋简体" w:cs="Times New Roman"/>
          <w:color w:val="000000" w:themeColor="text1"/>
          <w:kern w:val="0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一次性</w:t>
      </w:r>
      <w:r>
        <w:rPr>
          <w:rFonts w:hint="eastAsia" w:eastAsia="方正仿宋简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支付给乙方，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服务费用由甲方 </w:t>
      </w:r>
      <w:r>
        <w:rPr>
          <w:rFonts w:hint="eastAsia" w:eastAsia="方正仿宋简体" w:cs="Times New Roman"/>
          <w:color w:val="000000" w:themeColor="text1"/>
          <w:kern w:val="0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按月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支付给乙方，</w:t>
      </w:r>
      <w:r>
        <w:rPr>
          <w:rFonts w:hint="eastAsia" w:eastAsia="方正仿宋简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每月支付前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>乙方</w:t>
      </w:r>
      <w:r>
        <w:rPr>
          <w:rFonts w:hint="eastAsia" w:eastAsia="方正仿宋简体" w:cs="Times New Roman"/>
          <w:color w:val="000000" w:themeColor="text1"/>
          <w:kern w:val="0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应出具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>双方签字确认的施工记录单</w:t>
      </w:r>
      <w:r>
        <w:rPr>
          <w:rFonts w:hint="eastAsia" w:eastAsia="方正仿宋简体" w:cs="Times New Roman"/>
          <w:color w:val="000000" w:themeColor="text1"/>
          <w:kern w:val="0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及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>甲方开具</w:t>
      </w:r>
      <w:r>
        <w:rPr>
          <w:rFonts w:hint="eastAsia" w:eastAsia="方正仿宋简体" w:cs="Times New Roman"/>
          <w:color w:val="000000" w:themeColor="text1"/>
          <w:kern w:val="0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等额合法有效的增值税专用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>发票，甲方在收到后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>个工作日内将有害生物控制服务费支付给乙方。</w:t>
      </w:r>
      <w:r>
        <w:rPr>
          <w:rFonts w:hint="eastAsia" w:eastAsia="方正仿宋简体" w:cs="Times New Roman"/>
          <w:color w:val="000000" w:themeColor="text1"/>
          <w:kern w:val="0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若未提供前述付款资料，甲方有权拒绝付款且不承担延迟履行的法律责任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>。</w:t>
      </w:r>
    </w:p>
    <w:p w14:paraId="438CC37C">
      <w:pPr>
        <w:pStyle w:val="3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firstLine="643" w:firstLineChars="200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六、甲方的职责</w:t>
      </w:r>
    </w:p>
    <w:p w14:paraId="5A0A7CB5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1、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有权对乙方的防治服务工作质量进行监督，提出整改、提升意见。</w:t>
      </w:r>
    </w:p>
    <w:p w14:paraId="59DD515B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2、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指定专人对接乙方人员防治服务工作，并通知相关人员提供工作上的便利。</w:t>
      </w:r>
    </w:p>
    <w:p w14:paraId="45FD6B0C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3、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乙方每次服务后，应指派人员</w:t>
      </w:r>
      <w:r>
        <w:rPr>
          <w:rFonts w:hint="eastAsia" w:eastAsia="方正仿宋简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验收确认施工情况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30668F48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4、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负责搞好单位的环境卫生，并在乙方的指导下落实施工过程中提交的有害生物防控建议。</w:t>
      </w:r>
    </w:p>
    <w:p w14:paraId="4006DBFD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5、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对易发生人畜、宠物误食的投药场所，应当设立警示标识。</w:t>
      </w:r>
    </w:p>
    <w:p w14:paraId="0E5C3B07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  <w:lang w:val="en-US" w:eastAsia="zh-CN" w:bidi="ar-SA"/>
        </w:rPr>
        <w:t>6、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按时足额支付乙方防治服务费</w:t>
      </w:r>
      <w:r>
        <w:rPr>
          <w:rFonts w:hint="eastAsia" w:eastAsia="方正仿宋简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与设备费用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5568E683">
      <w:pPr>
        <w:pStyle w:val="3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firstLine="643" w:firstLineChars="200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七、乙方的职责</w:t>
      </w:r>
    </w:p>
    <w:p w14:paraId="14D89FE3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1、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使用的药物和器械应合规、三证齐全。</w:t>
      </w:r>
    </w:p>
    <w:p w14:paraId="2A29117E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2、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确保服务质量，使虫害控制水平达到合同规定的要求。</w:t>
      </w:r>
    </w:p>
    <w:p w14:paraId="45EDA137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3、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按照合同约定频次实施防治服务，每次服务完毕提交有甲方签字的施工记录单。</w:t>
      </w:r>
    </w:p>
    <w:p w14:paraId="28F1B34B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4、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现场服务时，要遵守甲方的有关规章制度，做到安全操作。</w:t>
      </w:r>
    </w:p>
    <w:p w14:paraId="5603DC0B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  <w:lang w:val="en-US" w:eastAsia="zh-CN" w:bidi="ar-SA"/>
        </w:rPr>
        <w:t>5、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落实甲方提出的整改或合理化建议，逐项整改并向甲方反馈。</w:t>
      </w:r>
    </w:p>
    <w:p w14:paraId="6F0D1894">
      <w:pPr>
        <w:pStyle w:val="3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firstLine="643" w:firstLineChars="200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八、违约责任</w:t>
      </w:r>
    </w:p>
    <w:p w14:paraId="583BDB6B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简体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乙方如在进场施工一个月后不能降低虫害密度至合同约定水平，甲方有权单方面通知乙方终止合同，</w:t>
      </w:r>
      <w:r>
        <w:rPr>
          <w:rFonts w:hint="eastAsia" w:eastAsia="方正仿宋简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且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不</w:t>
      </w:r>
      <w:r>
        <w:rPr>
          <w:rFonts w:hint="eastAsia" w:eastAsia="方正仿宋简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支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付</w:t>
      </w:r>
      <w:r>
        <w:rPr>
          <w:rFonts w:hint="eastAsia" w:eastAsia="方正仿宋简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服务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费用。</w:t>
      </w:r>
    </w:p>
    <w:p w14:paraId="27BD0A6C">
      <w:pPr>
        <w:pStyle w:val="2"/>
        <w:ind w:firstLine="640" w:firstLineChars="200"/>
        <w:rPr>
          <w:rFonts w:hint="default" w:eastAsia="方正仿宋简体"/>
          <w:lang w:val="en-US" w:eastAsia="zh-CN"/>
        </w:rPr>
      </w:pPr>
      <w:r>
        <w:rPr>
          <w:rFonts w:hint="eastAsia" w:eastAsia="方正仿宋简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、乙方履行合同时存在任何违约行为的，应向甲方偿付合同金额10%的违约金并赔偿由此带来的一切损失，包括且不限于甲方为实现债权产生的诉讼费、保全费、保全保险费、律师费、公证费、差旅费等全部费用。</w:t>
      </w:r>
    </w:p>
    <w:p w14:paraId="49E3C81E">
      <w:pPr>
        <w:pStyle w:val="3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firstLine="643" w:firstLineChars="200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九、甲、乙双方约定的其他事项</w:t>
      </w:r>
    </w:p>
    <w:p w14:paraId="5B915C87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本合同期满，双方如无异议，则合同自动顺延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>一年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5A0561E6">
      <w:pPr>
        <w:pStyle w:val="3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firstLine="643" w:firstLineChars="200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十、争议的解决</w:t>
      </w:r>
    </w:p>
    <w:p w14:paraId="449601D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本合同未尽事宜，双方友好协商解决，签订补充协议，如协商不成可向</w:t>
      </w:r>
      <w:r>
        <w:rPr>
          <w:rFonts w:hint="eastAsia" w:eastAsia="方正仿宋简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甲方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所在地</w:t>
      </w:r>
      <w:r>
        <w:rPr>
          <w:rFonts w:hint="eastAsia" w:eastAsia="方正仿宋简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人民法院提起诉讼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  <w:bookmarkStart w:id="0" w:name="_GoBack"/>
      <w:bookmarkEnd w:id="0"/>
    </w:p>
    <w:p w14:paraId="1CDAB7A6">
      <w:pPr>
        <w:pStyle w:val="3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firstLine="643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本合同一式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肆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份，甲方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执叁份，乙方执壹份，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代表签字或盖章后生效。</w:t>
      </w:r>
    </w:p>
    <w:p w14:paraId="16D9DB36">
      <w:pPr>
        <w:widowControl w:val="0"/>
        <w:numPr>
          <w:ilvl w:val="0"/>
          <w:numId w:val="0"/>
        </w:numPr>
        <w:jc w:val="both"/>
        <w:rPr>
          <w:rFonts w:hint="default"/>
        </w:rPr>
      </w:pPr>
    </w:p>
    <w:p w14:paraId="2BBB9A20">
      <w:pPr>
        <w:pStyle w:val="2"/>
        <w:rPr>
          <w:rFonts w:hint="default"/>
        </w:rPr>
      </w:pPr>
    </w:p>
    <w:p w14:paraId="261495AB">
      <w:pPr>
        <w:rPr>
          <w:rFonts w:hint="default"/>
        </w:rPr>
      </w:pPr>
    </w:p>
    <w:tbl>
      <w:tblPr>
        <w:tblStyle w:val="5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16502B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61" w:type="dxa"/>
            <w:shd w:val="clear" w:color="auto" w:fill="auto"/>
          </w:tcPr>
          <w:p w14:paraId="744256EA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333333"/>
                <w:kern w:val="0"/>
                <w:sz w:val="32"/>
                <w:szCs w:val="32"/>
              </w:rPr>
              <w:t xml:space="preserve">甲方： </w:t>
            </w:r>
          </w:p>
        </w:tc>
        <w:tc>
          <w:tcPr>
            <w:tcW w:w="4261" w:type="dxa"/>
            <w:shd w:val="clear" w:color="auto" w:fill="auto"/>
          </w:tcPr>
          <w:p w14:paraId="1BE38DD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乙方：</w:t>
            </w:r>
          </w:p>
        </w:tc>
      </w:tr>
      <w:tr w14:paraId="774F52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61" w:type="dxa"/>
            <w:shd w:val="clear" w:color="auto" w:fill="auto"/>
          </w:tcPr>
          <w:p w14:paraId="5888EDD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333333"/>
                <w:kern w:val="0"/>
                <w:sz w:val="32"/>
                <w:szCs w:val="32"/>
              </w:rPr>
              <w:t xml:space="preserve">代表： </w:t>
            </w:r>
          </w:p>
        </w:tc>
        <w:tc>
          <w:tcPr>
            <w:tcW w:w="4261" w:type="dxa"/>
            <w:shd w:val="clear" w:color="auto" w:fill="auto"/>
          </w:tcPr>
          <w:p w14:paraId="5A6F0D8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代表：</w:t>
            </w:r>
          </w:p>
        </w:tc>
      </w:tr>
      <w:tr w14:paraId="01AE85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61" w:type="dxa"/>
            <w:shd w:val="clear" w:color="auto" w:fill="auto"/>
          </w:tcPr>
          <w:p w14:paraId="6EE5812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电话：</w:t>
            </w:r>
          </w:p>
        </w:tc>
        <w:tc>
          <w:tcPr>
            <w:tcW w:w="4261" w:type="dxa"/>
            <w:shd w:val="clear" w:color="auto" w:fill="auto"/>
          </w:tcPr>
          <w:p w14:paraId="507B9EA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电话：</w:t>
            </w:r>
          </w:p>
        </w:tc>
      </w:tr>
      <w:tr w14:paraId="55BF0A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61" w:type="dxa"/>
            <w:shd w:val="clear" w:color="auto" w:fill="auto"/>
          </w:tcPr>
          <w:p w14:paraId="327151F5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签订日期：</w:t>
            </w:r>
            <w:r>
              <w:rPr>
                <w:rFonts w:hint="default" w:ascii="Times New Roman" w:hAnsi="Times New Roman" w:eastAsia="方正仿宋简体" w:cs="Times New Roman"/>
                <w:color w:val="333333"/>
                <w:kern w:val="0"/>
                <w:sz w:val="32"/>
                <w:szCs w:val="32"/>
              </w:rPr>
              <w:t>2024年   月   日</w:t>
            </w:r>
          </w:p>
        </w:tc>
        <w:tc>
          <w:tcPr>
            <w:tcW w:w="4261" w:type="dxa"/>
            <w:shd w:val="clear" w:color="auto" w:fill="auto"/>
          </w:tcPr>
          <w:p w14:paraId="0452FCBA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签订日期：</w:t>
            </w:r>
            <w:r>
              <w:rPr>
                <w:rFonts w:hint="default" w:ascii="Times New Roman" w:hAnsi="Times New Roman" w:eastAsia="方正仿宋简体" w:cs="Times New Roman"/>
                <w:color w:val="333333"/>
                <w:kern w:val="0"/>
                <w:sz w:val="32"/>
                <w:szCs w:val="32"/>
              </w:rPr>
              <w:t>2024年   月   日</w:t>
            </w:r>
          </w:p>
        </w:tc>
      </w:tr>
    </w:tbl>
    <w:p w14:paraId="3F2A6238">
      <w:pPr>
        <w:pageBreakBefore w:val="0"/>
        <w:kinsoku/>
        <w:overflowPunct/>
        <w:topLinePunct w:val="0"/>
        <w:autoSpaceDE/>
        <w:autoSpaceDN/>
        <w:bidi w:val="0"/>
        <w:spacing w:line="600" w:lineRule="exact"/>
        <w:rPr>
          <w:rFonts w:hint="default" w:ascii="Times New Roman" w:hAnsi="Times New Roman" w:cs="Times New Roman"/>
          <w:lang w:val="en-US" w:eastAsia="zh-CN"/>
        </w:rPr>
      </w:pPr>
    </w:p>
    <w:p w14:paraId="32F625B9"/>
    <w:sectPr>
      <w:footerReference r:id="rId3" w:type="default"/>
      <w:pgSz w:w="11906" w:h="16838"/>
      <w:pgMar w:top="2098" w:right="1587" w:bottom="1587" w:left="1587" w:header="2098" w:footer="158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0EE4D4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4F649C9">
                          <w:pPr>
                            <w:pStyle w:val="4"/>
                          </w:pPr>
                          <w:r>
                            <w:t>—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4F649C9">
                    <w:pPr>
                      <w:pStyle w:val="4"/>
                    </w:pPr>
                    <w:r>
                      <w:t>—</w:t>
                    </w:r>
                    <w:r>
                      <w:rPr>
                        <w:rFonts w:hint="eastAsia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14A5A3"/>
    <w:multiLevelType w:val="singleLevel"/>
    <w:tmpl w:val="3014A5A3"/>
    <w:lvl w:ilvl="0" w:tentative="0">
      <w:start w:val="10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1YjZjMzgyNjczODY4ODk3Njk0YzI2YWEyNTliOWYifQ=="/>
  </w:docVars>
  <w:rsids>
    <w:rsidRoot w:val="016731DF"/>
    <w:rsid w:val="016731DF"/>
    <w:rsid w:val="03DF6697"/>
    <w:rsid w:val="0C6B2AD4"/>
    <w:rsid w:val="27D0434F"/>
    <w:rsid w:val="37BC23ED"/>
    <w:rsid w:val="413E2981"/>
    <w:rsid w:val="55166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4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39"/>
    <w:rPr>
      <w:szCs w:val="24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2133</Words>
  <Characters>2243</Characters>
  <Lines>0</Lines>
  <Paragraphs>0</Paragraphs>
  <TotalTime>1</TotalTime>
  <ScaleCrop>false</ScaleCrop>
  <LinksUpToDate>false</LinksUpToDate>
  <CharactersWithSpaces>2407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2024-08-29T08:10:00Z</dcterms:created>
  <dc:creator>WPS_1666964186</dc:creator>
  <cp:lastModifiedBy>喂V我很好</cp:lastModifiedBy>
  <cp:lastPrinted>2024-10-15T03:28:56Z</cp:lastPrinted>
  <dcterms:modified xsi:type="dcterms:W3CDTF">2024-10-15T03:30:09Z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948B040C7BAD4B6E91E700152BD36949_11</vt:lpwstr>
  </property>
</Properties>
</file>