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2D5402">
      <w:pPr>
        <w:pStyle w:val="2"/>
        <w:keepNext w:val="0"/>
        <w:keepLines w:val="0"/>
        <w:pageBreakBefore w:val="0"/>
        <w:widowControl w:val="0"/>
        <w:kinsoku/>
        <w:wordWrap/>
        <w:overflowPunct/>
        <w:topLinePunct w:val="0"/>
        <w:autoSpaceDE/>
        <w:autoSpaceDN/>
        <w:bidi w:val="0"/>
        <w:adjustRightInd/>
        <w:snapToGrid/>
        <w:spacing w:line="509" w:lineRule="exact"/>
        <w:jc w:val="center"/>
        <w:textAlignment w:val="auto"/>
        <w:rPr>
          <w:rFonts w:hint="eastAsia" w:ascii="宋体" w:eastAsia="宋体"/>
          <w:bCs w:val="0"/>
          <w:sz w:val="36"/>
          <w:lang w:val="en-US" w:eastAsia="zh-CN"/>
        </w:rPr>
      </w:pPr>
      <w:bookmarkStart w:id="0" w:name="_Toc71529965"/>
      <w:bookmarkStart w:id="1" w:name="_Toc887_WPSOffice_Level1"/>
      <w:bookmarkStart w:id="2" w:name="_Toc183682369"/>
      <w:bookmarkStart w:id="3" w:name="_Toc183582232"/>
      <w:bookmarkStart w:id="4" w:name="_Toc217446057"/>
      <w:r>
        <w:rPr>
          <w:rFonts w:hint="eastAsia" w:ascii="宋体" w:eastAsia="宋体"/>
          <w:bCs w:val="0"/>
          <w:sz w:val="36"/>
          <w:lang w:val="en-US" w:eastAsia="zh-CN"/>
        </w:rPr>
        <w:t>德阳高新区三星湖人行桥建设项目水土保持设施</w:t>
      </w:r>
    </w:p>
    <w:p w14:paraId="312E8B71">
      <w:pPr>
        <w:pStyle w:val="2"/>
        <w:keepNext w:val="0"/>
        <w:keepLines w:val="0"/>
        <w:pageBreakBefore w:val="0"/>
        <w:widowControl w:val="0"/>
        <w:kinsoku/>
        <w:wordWrap/>
        <w:overflowPunct/>
        <w:topLinePunct w:val="0"/>
        <w:autoSpaceDE/>
        <w:autoSpaceDN/>
        <w:bidi w:val="0"/>
        <w:adjustRightInd/>
        <w:snapToGrid/>
        <w:spacing w:line="509" w:lineRule="exact"/>
        <w:jc w:val="center"/>
        <w:textAlignment w:val="auto"/>
        <w:rPr>
          <w:rFonts w:ascii="宋体" w:eastAsia="宋体"/>
          <w:bCs w:val="0"/>
          <w:sz w:val="36"/>
        </w:rPr>
      </w:pPr>
      <w:r>
        <w:rPr>
          <w:rFonts w:hint="eastAsia" w:ascii="宋体" w:eastAsia="宋体"/>
          <w:bCs w:val="0"/>
          <w:sz w:val="36"/>
          <w:lang w:val="en-US" w:eastAsia="zh-CN"/>
        </w:rPr>
        <w:t>验收服务</w:t>
      </w:r>
      <w:r>
        <w:rPr>
          <w:rFonts w:hint="eastAsia" w:ascii="宋体" w:eastAsia="宋体"/>
          <w:bCs w:val="0"/>
          <w:sz w:val="36"/>
          <w:lang w:eastAsia="zh-CN"/>
        </w:rPr>
        <w:t>采购</w:t>
      </w:r>
      <w:r>
        <w:rPr>
          <w:rFonts w:hint="eastAsia" w:ascii="宋体" w:eastAsia="宋体"/>
          <w:bCs w:val="0"/>
          <w:sz w:val="36"/>
        </w:rPr>
        <w:t>合同</w:t>
      </w:r>
      <w:bookmarkEnd w:id="0"/>
      <w:bookmarkEnd w:id="1"/>
      <w:bookmarkStart w:id="40" w:name="_GoBack"/>
      <w:bookmarkEnd w:id="40"/>
    </w:p>
    <w:bookmarkEnd w:id="2"/>
    <w:bookmarkEnd w:id="3"/>
    <w:bookmarkEnd w:id="4"/>
    <w:p w14:paraId="6B60311B">
      <w:pPr>
        <w:pStyle w:val="26"/>
        <w:keepNext w:val="0"/>
        <w:keepLines w:val="0"/>
        <w:pageBreakBefore w:val="0"/>
        <w:widowControl w:val="0"/>
        <w:kinsoku/>
        <w:wordWrap/>
        <w:overflowPunct/>
        <w:topLinePunct w:val="0"/>
        <w:autoSpaceDE/>
        <w:autoSpaceDN/>
        <w:bidi w:val="0"/>
        <w:snapToGrid/>
        <w:spacing w:line="509" w:lineRule="exact"/>
        <w:ind w:left="1799" w:leftChars="228" w:hanging="1320" w:hangingChars="550"/>
        <w:rPr>
          <w:rFonts w:cs="Times New Roman"/>
          <w:u w:val="single"/>
        </w:rPr>
      </w:pPr>
      <w:bookmarkStart w:id="5" w:name="_Hlt101846155"/>
      <w:bookmarkEnd w:id="5"/>
      <w:r>
        <w:rPr>
          <w:rFonts w:cs="Times New Roman"/>
        </w:rPr>
        <w:t>项目</w:t>
      </w:r>
      <w:r>
        <w:rPr>
          <w:rFonts w:hint="eastAsia" w:cs="Times New Roman"/>
        </w:rPr>
        <w:t>名称</w:t>
      </w:r>
      <w:r>
        <w:rPr>
          <w:rFonts w:cs="Times New Roman"/>
        </w:rPr>
        <w:t>：</w:t>
      </w:r>
    </w:p>
    <w:p w14:paraId="7DD6A53E">
      <w:pPr>
        <w:pStyle w:val="26"/>
        <w:keepNext w:val="0"/>
        <w:keepLines w:val="0"/>
        <w:pageBreakBefore w:val="0"/>
        <w:widowControl w:val="0"/>
        <w:kinsoku/>
        <w:wordWrap/>
        <w:overflowPunct/>
        <w:topLinePunct w:val="0"/>
        <w:autoSpaceDE/>
        <w:autoSpaceDN/>
        <w:bidi w:val="0"/>
        <w:snapToGrid/>
        <w:spacing w:line="509" w:lineRule="exact"/>
        <w:ind w:left="1799" w:leftChars="228" w:hanging="1320" w:hangingChars="550"/>
        <w:rPr>
          <w:rFonts w:cs="Times New Roman"/>
        </w:rPr>
      </w:pPr>
      <w:r>
        <w:rPr>
          <w:rFonts w:hint="eastAsia" w:cs="Times New Roman"/>
        </w:rPr>
        <w:t>项目</w:t>
      </w:r>
      <w:r>
        <w:rPr>
          <w:rFonts w:cs="Times New Roman"/>
        </w:rPr>
        <w:t>编号：</w:t>
      </w:r>
    </w:p>
    <w:p w14:paraId="2F7472D0">
      <w:pPr>
        <w:pStyle w:val="26"/>
        <w:keepNext w:val="0"/>
        <w:keepLines w:val="0"/>
        <w:pageBreakBefore w:val="0"/>
        <w:widowControl w:val="0"/>
        <w:kinsoku/>
        <w:wordWrap/>
        <w:overflowPunct/>
        <w:topLinePunct w:val="0"/>
        <w:autoSpaceDE/>
        <w:autoSpaceDN/>
        <w:bidi w:val="0"/>
        <w:snapToGrid/>
        <w:spacing w:line="509" w:lineRule="exact"/>
        <w:ind w:firstLine="480"/>
        <w:rPr>
          <w:rFonts w:cs="Times New Roman"/>
        </w:rPr>
      </w:pPr>
      <w:r>
        <w:rPr>
          <w:rFonts w:cs="Times New Roman"/>
        </w:rPr>
        <w:t xml:space="preserve">合同编号：                                      </w:t>
      </w:r>
    </w:p>
    <w:p w14:paraId="682AF22A">
      <w:pPr>
        <w:pStyle w:val="26"/>
        <w:keepNext w:val="0"/>
        <w:keepLines w:val="0"/>
        <w:pageBreakBefore w:val="0"/>
        <w:widowControl w:val="0"/>
        <w:kinsoku/>
        <w:wordWrap/>
        <w:overflowPunct/>
        <w:topLinePunct w:val="0"/>
        <w:autoSpaceDE/>
        <w:autoSpaceDN/>
        <w:bidi w:val="0"/>
        <w:snapToGrid/>
        <w:spacing w:line="509" w:lineRule="exact"/>
        <w:ind w:firstLine="480"/>
        <w:rPr>
          <w:rFonts w:cs="Times New Roman"/>
        </w:rPr>
      </w:pPr>
      <w:r>
        <w:rPr>
          <w:rFonts w:cs="Times New Roman"/>
        </w:rPr>
        <w:t xml:space="preserve">签订地点：                                        </w:t>
      </w:r>
    </w:p>
    <w:p w14:paraId="30A0364C">
      <w:pPr>
        <w:pStyle w:val="26"/>
        <w:keepNext w:val="0"/>
        <w:keepLines w:val="0"/>
        <w:pageBreakBefore w:val="0"/>
        <w:widowControl w:val="0"/>
        <w:kinsoku/>
        <w:wordWrap/>
        <w:overflowPunct/>
        <w:topLinePunct w:val="0"/>
        <w:autoSpaceDE/>
        <w:autoSpaceDN/>
        <w:bidi w:val="0"/>
        <w:snapToGrid/>
        <w:spacing w:line="509" w:lineRule="exact"/>
        <w:ind w:firstLine="480"/>
        <w:rPr>
          <w:rFonts w:cs="Times New Roman"/>
        </w:rPr>
      </w:pPr>
      <w:r>
        <w:rPr>
          <w:rFonts w:cs="Times New Roman"/>
        </w:rPr>
        <w:t xml:space="preserve">签订时间：                                         </w:t>
      </w:r>
    </w:p>
    <w:p w14:paraId="23809E97">
      <w:pPr>
        <w:pStyle w:val="26"/>
        <w:keepNext w:val="0"/>
        <w:keepLines w:val="0"/>
        <w:pageBreakBefore w:val="0"/>
        <w:widowControl w:val="0"/>
        <w:kinsoku/>
        <w:wordWrap/>
        <w:overflowPunct/>
        <w:topLinePunct w:val="0"/>
        <w:autoSpaceDE/>
        <w:autoSpaceDN/>
        <w:bidi w:val="0"/>
        <w:snapToGrid/>
        <w:spacing w:line="509" w:lineRule="exact"/>
        <w:ind w:firstLine="480"/>
        <w:rPr>
          <w:rFonts w:cs="Times New Roman"/>
        </w:rPr>
      </w:pPr>
      <w:r>
        <w:rPr>
          <w:rFonts w:cs="Times New Roman"/>
        </w:rPr>
        <w:t xml:space="preserve">采购人（甲方）：德阳高新发展有限公司                                        </w:t>
      </w:r>
    </w:p>
    <w:p w14:paraId="189AAA1A">
      <w:pPr>
        <w:pStyle w:val="26"/>
        <w:keepNext w:val="0"/>
        <w:keepLines w:val="0"/>
        <w:pageBreakBefore w:val="0"/>
        <w:widowControl w:val="0"/>
        <w:kinsoku/>
        <w:wordWrap/>
        <w:overflowPunct/>
        <w:topLinePunct w:val="0"/>
        <w:autoSpaceDE/>
        <w:autoSpaceDN/>
        <w:bidi w:val="0"/>
        <w:snapToGrid/>
        <w:spacing w:line="509" w:lineRule="exact"/>
        <w:ind w:firstLine="480"/>
        <w:rPr>
          <w:rFonts w:cs="Times New Roman"/>
        </w:rPr>
      </w:pPr>
      <w:r>
        <w:rPr>
          <w:rFonts w:cs="Times New Roman"/>
        </w:rPr>
        <w:t xml:space="preserve">供应商（乙方）：                                     </w:t>
      </w:r>
    </w:p>
    <w:p w14:paraId="154B16FB">
      <w:pPr>
        <w:pStyle w:val="26"/>
        <w:keepNext w:val="0"/>
        <w:keepLines w:val="0"/>
        <w:pageBreakBefore w:val="0"/>
        <w:widowControl w:val="0"/>
        <w:kinsoku/>
        <w:wordWrap/>
        <w:overflowPunct/>
        <w:topLinePunct w:val="0"/>
        <w:autoSpaceDE/>
        <w:autoSpaceDN/>
        <w:bidi w:val="0"/>
        <w:snapToGrid/>
        <w:spacing w:line="509" w:lineRule="exact"/>
        <w:ind w:firstLine="480"/>
        <w:rPr>
          <w:rFonts w:cs="Times New Roman"/>
        </w:rPr>
      </w:pPr>
      <w:r>
        <w:rPr>
          <w:rFonts w:cs="Times New Roman"/>
        </w:rPr>
        <w:t>根据《中华人民共和国招标投标法》、《</w:t>
      </w:r>
      <w:r>
        <w:rPr>
          <w:rFonts w:hint="eastAsia" w:cs="Times New Roman"/>
        </w:rPr>
        <w:t>中华人民共和国民法典</w:t>
      </w:r>
      <w:r>
        <w:rPr>
          <w:rFonts w:cs="Times New Roman"/>
        </w:rPr>
        <w:t>》及</w:t>
      </w:r>
      <w:r>
        <w:rPr>
          <w:rFonts w:cs="Times New Roman"/>
          <w:u w:val="single"/>
        </w:rPr>
        <w:t xml:space="preserve"> </w:t>
      </w:r>
      <w:r>
        <w:rPr>
          <w:rFonts w:hint="eastAsia" w:cs="Times New Roman"/>
          <w:u w:val="single"/>
        </w:rPr>
        <w:t xml:space="preserve">           </w:t>
      </w:r>
      <w:r>
        <w:rPr>
          <w:rFonts w:cs="Times New Roman"/>
        </w:rPr>
        <w:t>项目的《</w:t>
      </w:r>
      <w:r>
        <w:rPr>
          <w:rFonts w:hint="eastAsia" w:cs="Times New Roman"/>
          <w:lang w:eastAsia="zh-CN"/>
        </w:rPr>
        <w:t>询价</w:t>
      </w:r>
      <w:r>
        <w:rPr>
          <w:rFonts w:cs="Times New Roman"/>
        </w:rPr>
        <w:t>文件》、乙方的《响应文件》及《成交通知书》，甲、乙双方同意签订本合同。详细技术说明及其他有关合同项目的特定信息由合同附件予以说明，合同附件及本项目的</w:t>
      </w:r>
      <w:r>
        <w:rPr>
          <w:rFonts w:hint="eastAsia" w:cs="Times New Roman"/>
          <w:lang w:eastAsia="zh-CN"/>
        </w:rPr>
        <w:t>询价</w:t>
      </w:r>
      <w:r>
        <w:rPr>
          <w:rFonts w:cs="Times New Roman"/>
        </w:rPr>
        <w:t>文件、响应文件、《成交通知书》等均为本合同不可分割的部分。双方同意共同遵守如下条款：</w:t>
      </w:r>
    </w:p>
    <w:p w14:paraId="0C611939">
      <w:pPr>
        <w:keepNext w:val="0"/>
        <w:keepLines w:val="0"/>
        <w:pageBreakBefore w:val="0"/>
        <w:widowControl w:val="0"/>
        <w:numPr>
          <w:ilvl w:val="0"/>
          <w:numId w:val="1"/>
        </w:numPr>
        <w:kinsoku/>
        <w:wordWrap/>
        <w:overflowPunct/>
        <w:topLinePunct w:val="0"/>
        <w:autoSpaceDE/>
        <w:autoSpaceDN/>
        <w:bidi w:val="0"/>
        <w:snapToGrid/>
        <w:spacing w:line="509" w:lineRule="exact"/>
        <w:ind w:left="426"/>
        <w:rPr>
          <w:b/>
          <w:bCs/>
          <w:sz w:val="24"/>
        </w:rPr>
      </w:pPr>
      <w:r>
        <w:rPr>
          <w:rFonts w:hint="eastAsia"/>
          <w:b/>
          <w:bCs/>
          <w:sz w:val="24"/>
        </w:rPr>
        <w:t>项目基本情况</w:t>
      </w:r>
    </w:p>
    <w:p w14:paraId="480B9863">
      <w:pPr>
        <w:keepNext w:val="0"/>
        <w:keepLines w:val="0"/>
        <w:pageBreakBefore w:val="0"/>
        <w:widowControl w:val="0"/>
        <w:kinsoku/>
        <w:wordWrap/>
        <w:overflowPunct/>
        <w:topLinePunct w:val="0"/>
        <w:autoSpaceDE/>
        <w:autoSpaceDN/>
        <w:bidi w:val="0"/>
        <w:snapToGrid/>
        <w:spacing w:line="509" w:lineRule="exact"/>
        <w:ind w:firstLine="420" w:firstLineChars="175"/>
        <w:rPr>
          <w:sz w:val="24"/>
          <w:u w:val="single"/>
        </w:rPr>
      </w:pPr>
      <w:r>
        <w:rPr>
          <w:rFonts w:hint="eastAsia"/>
          <w:sz w:val="24"/>
          <w:u w:val="single"/>
        </w:rPr>
        <w:t>德阳高新区三星湖人行桥建设项目</w:t>
      </w:r>
      <w:r>
        <w:rPr>
          <w:rFonts w:hint="eastAsia"/>
          <w:sz w:val="24"/>
          <w:u w:val="single"/>
          <w:lang w:eastAsia="zh-CN"/>
        </w:rPr>
        <w:t>：</w:t>
      </w:r>
      <w:r>
        <w:rPr>
          <w:rFonts w:hint="eastAsia"/>
          <w:sz w:val="24"/>
          <w:u w:val="single"/>
        </w:rPr>
        <w:t>新建两座人行景观桥，青白江人行景观桥主桥长约240m,宽约8m，马牧河人行景观桥总长约72m，宽约 8m 。建设内容包含桥梁、照明、综合管线、景观绿化、引桥及观景台等。</w:t>
      </w:r>
    </w:p>
    <w:p w14:paraId="56975D9B">
      <w:pPr>
        <w:keepNext w:val="0"/>
        <w:keepLines w:val="0"/>
        <w:pageBreakBefore w:val="0"/>
        <w:widowControl w:val="0"/>
        <w:kinsoku/>
        <w:wordWrap/>
        <w:overflowPunct/>
        <w:topLinePunct w:val="0"/>
        <w:autoSpaceDE/>
        <w:autoSpaceDN/>
        <w:bidi w:val="0"/>
        <w:snapToGrid/>
        <w:spacing w:line="509" w:lineRule="exact"/>
        <w:ind w:left="426"/>
        <w:rPr>
          <w:b/>
          <w:bCs/>
          <w:sz w:val="24"/>
        </w:rPr>
      </w:pPr>
      <w:r>
        <w:rPr>
          <w:rFonts w:hint="eastAsia"/>
          <w:b/>
          <w:bCs/>
          <w:sz w:val="24"/>
        </w:rPr>
        <w:t>第二条 工作完成期限</w:t>
      </w:r>
    </w:p>
    <w:p w14:paraId="0D414461">
      <w:pPr>
        <w:keepNext w:val="0"/>
        <w:keepLines w:val="0"/>
        <w:pageBreakBefore w:val="0"/>
        <w:widowControl w:val="0"/>
        <w:kinsoku/>
        <w:wordWrap/>
        <w:overflowPunct/>
        <w:topLinePunct w:val="0"/>
        <w:autoSpaceDE/>
        <w:autoSpaceDN/>
        <w:bidi w:val="0"/>
        <w:snapToGrid/>
        <w:spacing w:line="509" w:lineRule="exact"/>
        <w:ind w:firstLine="480" w:firstLineChars="200"/>
        <w:rPr>
          <w:b/>
          <w:bCs/>
          <w:sz w:val="24"/>
          <w:highlight w:val="none"/>
          <w:u w:val="single"/>
        </w:rPr>
      </w:pPr>
      <w:r>
        <w:rPr>
          <w:rFonts w:hint="eastAsia"/>
          <w:sz w:val="24"/>
          <w:highlight w:val="none"/>
        </w:rPr>
        <w:t>合同签订后</w:t>
      </w:r>
      <w:r>
        <w:rPr>
          <w:rFonts w:hint="eastAsia"/>
          <w:sz w:val="24"/>
          <w:highlight w:val="none"/>
          <w:lang w:val="en-US" w:eastAsia="zh-CN"/>
        </w:rPr>
        <w:t>30</w:t>
      </w:r>
      <w:r>
        <w:rPr>
          <w:rFonts w:hint="eastAsia"/>
          <w:sz w:val="24"/>
          <w:highlight w:val="none"/>
          <w:lang w:eastAsia="zh-CN"/>
        </w:rPr>
        <w:t>个工作日</w:t>
      </w:r>
      <w:r>
        <w:rPr>
          <w:rFonts w:hint="eastAsia"/>
          <w:sz w:val="24"/>
          <w:highlight w:val="none"/>
        </w:rPr>
        <w:t>内完成。</w:t>
      </w:r>
    </w:p>
    <w:p w14:paraId="3FAB9B53">
      <w:pPr>
        <w:keepNext w:val="0"/>
        <w:keepLines w:val="0"/>
        <w:pageBreakBefore w:val="0"/>
        <w:widowControl w:val="0"/>
        <w:kinsoku/>
        <w:wordWrap/>
        <w:overflowPunct/>
        <w:topLinePunct w:val="0"/>
        <w:autoSpaceDE/>
        <w:autoSpaceDN/>
        <w:bidi w:val="0"/>
        <w:snapToGrid/>
        <w:spacing w:line="509" w:lineRule="exact"/>
        <w:ind w:left="426"/>
        <w:rPr>
          <w:b/>
          <w:bCs/>
          <w:sz w:val="24"/>
        </w:rPr>
      </w:pPr>
      <w:r>
        <w:rPr>
          <w:rFonts w:hint="eastAsia"/>
          <w:b/>
          <w:bCs/>
          <w:sz w:val="24"/>
        </w:rPr>
        <w:t>第三条 服务内容与质量标准</w:t>
      </w:r>
    </w:p>
    <w:p w14:paraId="01CE5A89">
      <w:pPr>
        <w:keepNext w:val="0"/>
        <w:keepLines w:val="0"/>
        <w:pageBreakBefore w:val="0"/>
        <w:widowControl w:val="0"/>
        <w:kinsoku/>
        <w:wordWrap/>
        <w:overflowPunct/>
        <w:topLinePunct w:val="0"/>
        <w:autoSpaceDE/>
        <w:autoSpaceDN/>
        <w:bidi w:val="0"/>
        <w:snapToGrid/>
        <w:spacing w:line="509" w:lineRule="exact"/>
        <w:ind w:firstLine="480" w:firstLineChars="200"/>
        <w:rPr>
          <w:sz w:val="24"/>
        </w:rPr>
      </w:pPr>
      <w:r>
        <w:rPr>
          <w:rFonts w:hint="eastAsia"/>
          <w:sz w:val="24"/>
        </w:rPr>
        <w:t>（一）现场调查。合同签订后，编制单位应对项目进行现场摸底和调查，收集相关资料，为验收报告编制提供依据；</w:t>
      </w:r>
    </w:p>
    <w:p w14:paraId="4123CB45">
      <w:pPr>
        <w:keepNext w:val="0"/>
        <w:keepLines w:val="0"/>
        <w:pageBreakBefore w:val="0"/>
        <w:widowControl w:val="0"/>
        <w:kinsoku/>
        <w:wordWrap/>
        <w:overflowPunct/>
        <w:topLinePunct w:val="0"/>
        <w:autoSpaceDE/>
        <w:autoSpaceDN/>
        <w:bidi w:val="0"/>
        <w:snapToGrid/>
        <w:spacing w:line="509" w:lineRule="exact"/>
        <w:ind w:firstLine="480" w:firstLineChars="200"/>
        <w:rPr>
          <w:rFonts w:hint="eastAsia"/>
          <w:sz w:val="24"/>
        </w:rPr>
      </w:pPr>
      <w:r>
        <w:rPr>
          <w:rFonts w:hint="eastAsia"/>
          <w:sz w:val="24"/>
        </w:rPr>
        <w:t>（二）编制单位组织符合规范标准的专家库专家进行验收并签署意见，符合《开发建设项目水土保持设施验收管理办法》、《中华人民共和国水利部令》、《关于加强事中事后监管规范生产建设项目水土保持设施自主验收的通知》、《生产建设项目水土保持监督管理办法的通知》、《水土保持规划编制规程》、《水土保持工程设计规范》等有关法律法规的要求；</w:t>
      </w:r>
    </w:p>
    <w:p w14:paraId="47BA35B6">
      <w:pPr>
        <w:keepNext w:val="0"/>
        <w:keepLines w:val="0"/>
        <w:pageBreakBefore w:val="0"/>
        <w:widowControl w:val="0"/>
        <w:kinsoku/>
        <w:wordWrap/>
        <w:overflowPunct/>
        <w:topLinePunct w:val="0"/>
        <w:autoSpaceDE/>
        <w:autoSpaceDN/>
        <w:bidi w:val="0"/>
        <w:snapToGrid/>
        <w:spacing w:line="509" w:lineRule="exact"/>
        <w:ind w:firstLine="480" w:firstLineChars="200"/>
        <w:rPr>
          <w:rFonts w:hint="eastAsia"/>
          <w:sz w:val="24"/>
          <w:lang w:eastAsia="zh-CN"/>
        </w:rPr>
      </w:pPr>
      <w:r>
        <w:rPr>
          <w:rFonts w:hint="eastAsia"/>
          <w:sz w:val="24"/>
          <w:lang w:eastAsia="zh-CN"/>
        </w:rPr>
        <w:t>（</w:t>
      </w:r>
      <w:r>
        <w:rPr>
          <w:rFonts w:hint="eastAsia"/>
          <w:sz w:val="24"/>
          <w:lang w:val="en-US" w:eastAsia="zh-CN"/>
        </w:rPr>
        <w:t>三</w:t>
      </w:r>
      <w:r>
        <w:rPr>
          <w:rFonts w:hint="eastAsia"/>
          <w:sz w:val="24"/>
          <w:lang w:eastAsia="zh-CN"/>
        </w:rPr>
        <w:t>）完成验收等工作。完成水保设施的查验、监测、记载后，编制水土保持设施验收报告，通过验收，完成向相关主管部门报备，形成验收合格鉴定书；如需公示，编制单位应负责完成该项工作，费用由编制机构承担；</w:t>
      </w:r>
    </w:p>
    <w:p w14:paraId="17162311">
      <w:pPr>
        <w:keepNext w:val="0"/>
        <w:keepLines w:val="0"/>
        <w:pageBreakBefore w:val="0"/>
        <w:widowControl w:val="0"/>
        <w:kinsoku/>
        <w:wordWrap/>
        <w:overflowPunct/>
        <w:topLinePunct w:val="0"/>
        <w:autoSpaceDE/>
        <w:autoSpaceDN/>
        <w:bidi w:val="0"/>
        <w:snapToGrid/>
        <w:spacing w:line="509" w:lineRule="exact"/>
        <w:ind w:firstLine="480" w:firstLineChars="200"/>
        <w:rPr>
          <w:rFonts w:hint="eastAsia"/>
          <w:sz w:val="24"/>
          <w:lang w:eastAsia="zh-CN"/>
        </w:rPr>
      </w:pPr>
      <w:r>
        <w:rPr>
          <w:rFonts w:hint="eastAsia"/>
          <w:sz w:val="24"/>
          <w:lang w:eastAsia="zh-CN"/>
        </w:rPr>
        <w:t>（</w:t>
      </w:r>
      <w:r>
        <w:rPr>
          <w:rFonts w:hint="eastAsia"/>
          <w:sz w:val="24"/>
          <w:lang w:val="en-US" w:eastAsia="zh-CN"/>
        </w:rPr>
        <w:t>四</w:t>
      </w:r>
      <w:r>
        <w:rPr>
          <w:rFonts w:hint="eastAsia"/>
          <w:sz w:val="24"/>
          <w:lang w:eastAsia="zh-CN"/>
        </w:rPr>
        <w:t>）完成评审报批工作。完成验收跟踪评价后，报送相关审查部门进行评审、验收，并负责审查通过，费用由编制机构承担。</w:t>
      </w:r>
    </w:p>
    <w:p w14:paraId="097A5F74">
      <w:pPr>
        <w:keepNext w:val="0"/>
        <w:keepLines w:val="0"/>
        <w:pageBreakBefore w:val="0"/>
        <w:widowControl w:val="0"/>
        <w:kinsoku/>
        <w:wordWrap/>
        <w:overflowPunct/>
        <w:topLinePunct w:val="0"/>
        <w:autoSpaceDE/>
        <w:autoSpaceDN/>
        <w:bidi w:val="0"/>
        <w:snapToGrid/>
        <w:spacing w:line="509" w:lineRule="exact"/>
        <w:ind w:firstLine="480" w:firstLineChars="200"/>
        <w:rPr>
          <w:rFonts w:hint="default"/>
          <w:sz w:val="24"/>
          <w:lang w:val="en-US" w:eastAsia="zh-CN"/>
        </w:rPr>
      </w:pPr>
      <w:r>
        <w:rPr>
          <w:rFonts w:hint="eastAsia"/>
          <w:sz w:val="24"/>
          <w:lang w:eastAsia="zh-CN"/>
        </w:rPr>
        <w:t>（</w:t>
      </w:r>
      <w:r>
        <w:rPr>
          <w:rFonts w:hint="eastAsia"/>
          <w:sz w:val="24"/>
          <w:lang w:val="en-US" w:eastAsia="zh-CN"/>
        </w:rPr>
        <w:t>五</w:t>
      </w:r>
      <w:r>
        <w:rPr>
          <w:rFonts w:hint="eastAsia"/>
          <w:sz w:val="24"/>
          <w:lang w:eastAsia="zh-CN"/>
        </w:rPr>
        <w:t>）</w:t>
      </w:r>
      <w:r>
        <w:rPr>
          <w:rFonts w:hint="eastAsia"/>
          <w:sz w:val="24"/>
          <w:lang w:val="en-US" w:eastAsia="zh-CN"/>
        </w:rPr>
        <w:t>项目完成后，提交正式成果文件。</w:t>
      </w:r>
    </w:p>
    <w:p w14:paraId="64B6E259">
      <w:pPr>
        <w:keepNext w:val="0"/>
        <w:keepLines w:val="0"/>
        <w:pageBreakBefore w:val="0"/>
        <w:widowControl w:val="0"/>
        <w:kinsoku/>
        <w:wordWrap/>
        <w:overflowPunct/>
        <w:topLinePunct w:val="0"/>
        <w:autoSpaceDE/>
        <w:autoSpaceDN/>
        <w:bidi w:val="0"/>
        <w:snapToGrid/>
        <w:spacing w:line="509" w:lineRule="exact"/>
        <w:ind w:firstLine="480" w:firstLineChars="200"/>
        <w:rPr>
          <w:sz w:val="24"/>
        </w:rPr>
      </w:pPr>
      <w:r>
        <w:rPr>
          <w:sz w:val="24"/>
        </w:rPr>
        <w:t>质量要求：</w:t>
      </w:r>
      <w:r>
        <w:rPr>
          <w:sz w:val="24"/>
          <w:u w:val="single"/>
        </w:rPr>
        <w:t>达到现行国家相关验收规范和标准的要求。</w:t>
      </w:r>
    </w:p>
    <w:p w14:paraId="3E2DF6A2">
      <w:pPr>
        <w:keepNext w:val="0"/>
        <w:keepLines w:val="0"/>
        <w:pageBreakBefore w:val="0"/>
        <w:widowControl w:val="0"/>
        <w:kinsoku/>
        <w:wordWrap/>
        <w:overflowPunct/>
        <w:topLinePunct w:val="0"/>
        <w:autoSpaceDE/>
        <w:autoSpaceDN/>
        <w:bidi w:val="0"/>
        <w:snapToGrid/>
        <w:spacing w:line="509" w:lineRule="exact"/>
        <w:ind w:firstLine="480" w:firstLineChars="200"/>
        <w:rPr>
          <w:sz w:val="24"/>
          <w:u w:val="single"/>
        </w:rPr>
      </w:pPr>
      <w:r>
        <w:rPr>
          <w:sz w:val="24"/>
        </w:rPr>
        <w:t>技术标准：</w:t>
      </w:r>
      <w:r>
        <w:rPr>
          <w:rFonts w:hint="eastAsia"/>
          <w:sz w:val="24"/>
          <w:u w:val="single"/>
        </w:rPr>
        <w:t>符合符合《开发建设项目水土保持设施验收管理办法》、《中华人民共和国水利部令》、《关于加强事中事后监管规范生产建设项目水土保持设施自主验收的通知》、《生产建设项目水土保持监督管理办法的通知》、《水土保持规划编制规程》、《水土保持工程设计规范》等有关法律法规的要求</w:t>
      </w:r>
      <w:r>
        <w:rPr>
          <w:sz w:val="24"/>
          <w:u w:val="single"/>
        </w:rPr>
        <w:t>。</w:t>
      </w:r>
    </w:p>
    <w:p w14:paraId="288C37BC">
      <w:pPr>
        <w:keepNext w:val="0"/>
        <w:keepLines w:val="0"/>
        <w:pageBreakBefore w:val="0"/>
        <w:widowControl w:val="0"/>
        <w:kinsoku/>
        <w:wordWrap/>
        <w:overflowPunct/>
        <w:topLinePunct w:val="0"/>
        <w:autoSpaceDE/>
        <w:autoSpaceDN/>
        <w:bidi w:val="0"/>
        <w:snapToGrid/>
        <w:spacing w:line="509" w:lineRule="exact"/>
        <w:rPr>
          <w:b/>
          <w:sz w:val="24"/>
        </w:rPr>
      </w:pPr>
      <w:r>
        <w:rPr>
          <w:rFonts w:hint="eastAsia"/>
          <w:b/>
          <w:sz w:val="24"/>
        </w:rPr>
        <w:t xml:space="preserve">    第四条  </w:t>
      </w:r>
      <w:r>
        <w:rPr>
          <w:b/>
          <w:sz w:val="24"/>
        </w:rPr>
        <w:t>服务费用及支付方式</w:t>
      </w:r>
    </w:p>
    <w:p w14:paraId="1A2D19ED">
      <w:pPr>
        <w:keepNext w:val="0"/>
        <w:keepLines w:val="0"/>
        <w:pageBreakBefore w:val="0"/>
        <w:widowControl w:val="0"/>
        <w:numPr>
          <w:ilvl w:val="0"/>
          <w:numId w:val="2"/>
        </w:numPr>
        <w:kinsoku/>
        <w:wordWrap/>
        <w:overflowPunct/>
        <w:topLinePunct w:val="0"/>
        <w:autoSpaceDE/>
        <w:autoSpaceDN/>
        <w:bidi w:val="0"/>
        <w:snapToGrid/>
        <w:spacing w:line="509" w:lineRule="exact"/>
        <w:ind w:left="0" w:firstLine="567"/>
        <w:rPr>
          <w:b/>
          <w:sz w:val="24"/>
        </w:rPr>
      </w:pPr>
      <w:r>
        <w:rPr>
          <w:b/>
          <w:sz w:val="24"/>
        </w:rPr>
        <w:t>本项目服务费用由以下组成：</w:t>
      </w:r>
    </w:p>
    <w:p w14:paraId="784D9363">
      <w:pPr>
        <w:keepNext w:val="0"/>
        <w:keepLines w:val="0"/>
        <w:pageBreakBefore w:val="0"/>
        <w:widowControl w:val="0"/>
        <w:kinsoku/>
        <w:wordWrap/>
        <w:overflowPunct/>
        <w:topLinePunct w:val="0"/>
        <w:autoSpaceDE/>
        <w:autoSpaceDN/>
        <w:bidi w:val="0"/>
        <w:snapToGrid/>
        <w:spacing w:line="509" w:lineRule="exact"/>
        <w:ind w:firstLine="480" w:firstLineChars="200"/>
        <w:rPr>
          <w:b/>
          <w:sz w:val="24"/>
        </w:rPr>
      </w:pPr>
      <w:r>
        <w:rPr>
          <w:sz w:val="24"/>
        </w:rPr>
        <w:t>通过</w:t>
      </w:r>
      <w:r>
        <w:rPr>
          <w:rFonts w:hint="eastAsia"/>
          <w:sz w:val="24"/>
          <w:u w:val="single"/>
        </w:rPr>
        <w:t xml:space="preserve">              </w:t>
      </w:r>
      <w:r>
        <w:rPr>
          <w:rFonts w:hint="eastAsia"/>
          <w:sz w:val="24"/>
          <w:u w:val="none"/>
          <w:lang w:eastAsia="zh-CN"/>
        </w:rPr>
        <w:t>，</w:t>
      </w:r>
      <w:r>
        <w:rPr>
          <w:rFonts w:hint="eastAsia"/>
          <w:sz w:val="24"/>
          <w:u w:val="none"/>
          <w:lang w:val="en-US" w:eastAsia="zh-CN"/>
        </w:rPr>
        <w:t>由</w:t>
      </w:r>
      <w:r>
        <w:rPr>
          <w:rFonts w:hint="eastAsia"/>
          <w:sz w:val="24"/>
          <w:u w:val="single"/>
          <w:lang w:val="en-US" w:eastAsia="zh-CN"/>
        </w:rPr>
        <w:t xml:space="preserve">                 </w:t>
      </w:r>
      <w:r>
        <w:rPr>
          <w:sz w:val="24"/>
        </w:rPr>
        <w:t>采购乙方，成交金额为</w:t>
      </w:r>
      <w:r>
        <w:rPr>
          <w:b/>
          <w:sz w:val="24"/>
          <w:u w:val="single"/>
        </w:rPr>
        <w:t xml:space="preserve"> </w:t>
      </w:r>
      <w:r>
        <w:rPr>
          <w:rFonts w:hint="eastAsia"/>
          <w:b/>
          <w:sz w:val="24"/>
          <w:u w:val="single"/>
        </w:rPr>
        <w:t xml:space="preserve">             </w:t>
      </w:r>
      <w:r>
        <w:rPr>
          <w:b/>
          <w:sz w:val="24"/>
          <w:u w:val="single"/>
        </w:rPr>
        <w:t xml:space="preserve"> </w:t>
      </w:r>
      <w:r>
        <w:rPr>
          <w:b/>
          <w:sz w:val="24"/>
        </w:rPr>
        <w:t>元（</w:t>
      </w:r>
      <w:r>
        <w:rPr>
          <w:b/>
          <w:sz w:val="24"/>
          <w:u w:val="single"/>
        </w:rPr>
        <w:t>大写：</w:t>
      </w:r>
      <w:r>
        <w:rPr>
          <w:rFonts w:hint="eastAsia"/>
          <w:b/>
          <w:sz w:val="24"/>
          <w:u w:val="single"/>
        </w:rPr>
        <w:t xml:space="preserve">              </w:t>
      </w:r>
      <w:r>
        <w:rPr>
          <w:b/>
          <w:sz w:val="24"/>
        </w:rPr>
        <w:t>）</w:t>
      </w:r>
      <w:r>
        <w:rPr>
          <w:rFonts w:hint="eastAsia"/>
          <w:b/>
          <w:sz w:val="24"/>
          <w:lang w:val="en-US" w:eastAsia="zh-CN"/>
        </w:rPr>
        <w:t>,</w:t>
      </w:r>
      <w:r>
        <w:rPr>
          <w:rFonts w:hint="eastAsia"/>
          <w:b/>
          <w:sz w:val="24"/>
        </w:rPr>
        <w:t>其中不含税金额为</w:t>
      </w:r>
      <w:r>
        <w:rPr>
          <w:rFonts w:hint="eastAsia"/>
          <w:b/>
          <w:sz w:val="24"/>
          <w:u w:val="single"/>
          <w:lang w:val="en-US" w:eastAsia="zh-CN"/>
        </w:rPr>
        <w:t xml:space="preserve">            </w:t>
      </w:r>
      <w:r>
        <w:rPr>
          <w:rFonts w:hint="eastAsia"/>
          <w:b/>
          <w:sz w:val="24"/>
          <w:u w:val="single"/>
        </w:rPr>
        <w:t xml:space="preserve"> </w:t>
      </w:r>
      <w:r>
        <w:rPr>
          <w:rFonts w:hint="eastAsia"/>
          <w:b/>
          <w:sz w:val="24"/>
        </w:rPr>
        <w:t>元(大写:</w:t>
      </w:r>
      <w:r>
        <w:rPr>
          <w:rFonts w:hint="eastAsia"/>
          <w:b/>
          <w:sz w:val="24"/>
          <w:u w:val="single"/>
          <w:lang w:val="en-US" w:eastAsia="zh-CN"/>
        </w:rPr>
        <w:t xml:space="preserve">             </w:t>
      </w:r>
      <w:r>
        <w:rPr>
          <w:rFonts w:hint="eastAsia"/>
          <w:b/>
          <w:sz w:val="24"/>
          <w:u w:val="single"/>
        </w:rPr>
        <w:t xml:space="preserve"> </w:t>
      </w:r>
      <w:r>
        <w:rPr>
          <w:rFonts w:hint="eastAsia"/>
          <w:b/>
          <w:sz w:val="24"/>
        </w:rPr>
        <w:t>)，增值税金额为</w:t>
      </w:r>
      <w:r>
        <w:rPr>
          <w:rFonts w:hint="eastAsia"/>
          <w:b/>
          <w:sz w:val="24"/>
          <w:u w:val="single"/>
          <w:lang w:val="en-US" w:eastAsia="zh-CN"/>
        </w:rPr>
        <w:t xml:space="preserve">          </w:t>
      </w:r>
      <w:r>
        <w:rPr>
          <w:rFonts w:hint="eastAsia"/>
          <w:b/>
          <w:sz w:val="24"/>
        </w:rPr>
        <w:t>元(大写:</w:t>
      </w:r>
      <w:r>
        <w:rPr>
          <w:rFonts w:hint="eastAsia"/>
          <w:b/>
          <w:sz w:val="24"/>
          <w:u w:val="single"/>
          <w:lang w:val="en-US" w:eastAsia="zh-CN"/>
        </w:rPr>
        <w:t xml:space="preserve">             </w:t>
      </w:r>
      <w:r>
        <w:rPr>
          <w:rFonts w:hint="eastAsia"/>
          <w:b/>
          <w:sz w:val="24"/>
        </w:rPr>
        <w:t>)，增值税税率为</w:t>
      </w:r>
      <w:r>
        <w:rPr>
          <w:rFonts w:hint="eastAsia"/>
          <w:b/>
          <w:sz w:val="24"/>
          <w:u w:val="single"/>
          <w:lang w:val="en-US" w:eastAsia="zh-CN"/>
        </w:rPr>
        <w:t xml:space="preserve">     %</w:t>
      </w:r>
      <w:r>
        <w:rPr>
          <w:rFonts w:hint="eastAsia"/>
          <w:b/>
          <w:sz w:val="24"/>
        </w:rPr>
        <w:t>。</w:t>
      </w:r>
      <w:r>
        <w:rPr>
          <w:rFonts w:hint="eastAsia" w:ascii="宋体" w:hAnsi="宋体"/>
          <w:b/>
          <w:sz w:val="24"/>
        </w:rPr>
        <w:t>该费用为包干费用，已包括但不限于编制费、评审费、专家费、会务费、监测费、人工费、材料费、交通费、差旅费、税费、利润等乙方为完成本合同项下约定服务的所有费用，以及后续服务费，除此之外，甲方不再支付乙方任何费用。</w:t>
      </w:r>
    </w:p>
    <w:p w14:paraId="661E34F2">
      <w:pPr>
        <w:keepNext w:val="0"/>
        <w:keepLines w:val="0"/>
        <w:pageBreakBefore w:val="0"/>
        <w:widowControl w:val="0"/>
        <w:numPr>
          <w:ilvl w:val="0"/>
          <w:numId w:val="2"/>
        </w:numPr>
        <w:tabs>
          <w:tab w:val="left" w:pos="780"/>
        </w:tabs>
        <w:kinsoku/>
        <w:wordWrap/>
        <w:overflowPunct/>
        <w:topLinePunct w:val="0"/>
        <w:autoSpaceDE/>
        <w:autoSpaceDN/>
        <w:bidi w:val="0"/>
        <w:snapToGrid/>
        <w:spacing w:line="509" w:lineRule="exact"/>
        <w:ind w:left="0" w:firstLine="567"/>
        <w:rPr>
          <w:b/>
          <w:sz w:val="24"/>
        </w:rPr>
      </w:pPr>
      <w:r>
        <w:rPr>
          <w:b w:val="0"/>
          <w:bCs/>
          <w:sz w:val="24"/>
        </w:rPr>
        <w:t>服务费支付方式：</w:t>
      </w:r>
      <w:r>
        <w:rPr>
          <w:b/>
          <w:sz w:val="24"/>
        </w:rPr>
        <w:t xml:space="preserve"> </w:t>
      </w:r>
    </w:p>
    <w:p w14:paraId="5594D2EF">
      <w:pPr>
        <w:keepNext w:val="0"/>
        <w:keepLines w:val="0"/>
        <w:pageBreakBefore w:val="0"/>
        <w:widowControl w:val="0"/>
        <w:kinsoku/>
        <w:wordWrap/>
        <w:overflowPunct/>
        <w:topLinePunct w:val="0"/>
        <w:autoSpaceDE/>
        <w:autoSpaceDN/>
        <w:bidi w:val="0"/>
        <w:snapToGrid/>
        <w:spacing w:line="509" w:lineRule="exact"/>
        <w:ind w:firstLine="480" w:firstLineChars="200"/>
        <w:rPr>
          <w:rFonts w:hint="eastAsia" w:eastAsia="宋体"/>
          <w:sz w:val="24"/>
          <w:lang w:eastAsia="zh-CN"/>
        </w:rPr>
      </w:pPr>
      <w:r>
        <w:rPr>
          <w:rFonts w:hint="eastAsia"/>
          <w:sz w:val="24"/>
          <w:lang w:val="en-US" w:eastAsia="zh-CN"/>
        </w:rPr>
        <w:t>1.</w:t>
      </w:r>
      <w:r>
        <w:rPr>
          <w:rFonts w:hint="eastAsia" w:eastAsia="宋体"/>
          <w:sz w:val="24"/>
          <w:lang w:eastAsia="zh-CN"/>
        </w:rPr>
        <w:t>完成该项目水土保持设施验收，编制验收报告，并取得主管部门批准文件</w:t>
      </w:r>
      <w:r>
        <w:rPr>
          <w:rFonts w:hint="eastAsia" w:eastAsia="宋体"/>
          <w:sz w:val="24"/>
          <w:lang w:val="en-US" w:eastAsia="zh-CN"/>
        </w:rPr>
        <w:t>取得主管部门批准文件后一次性付清全部费用。</w:t>
      </w:r>
    </w:p>
    <w:p w14:paraId="04FB75EC">
      <w:pPr>
        <w:keepNext w:val="0"/>
        <w:keepLines w:val="0"/>
        <w:pageBreakBefore w:val="0"/>
        <w:widowControl w:val="0"/>
        <w:kinsoku/>
        <w:wordWrap/>
        <w:overflowPunct/>
        <w:topLinePunct w:val="0"/>
        <w:autoSpaceDE/>
        <w:autoSpaceDN/>
        <w:bidi w:val="0"/>
        <w:snapToGrid/>
        <w:spacing w:line="509" w:lineRule="exact"/>
        <w:ind w:firstLine="480" w:firstLineChars="200"/>
        <w:rPr>
          <w:rFonts w:hint="eastAsia" w:eastAsia="宋体"/>
          <w:sz w:val="24"/>
          <w:lang w:eastAsia="zh-CN"/>
        </w:rPr>
      </w:pPr>
      <w:r>
        <w:rPr>
          <w:rFonts w:hint="eastAsia"/>
          <w:sz w:val="24"/>
          <w:lang w:val="en-US" w:eastAsia="zh-CN"/>
        </w:rPr>
        <w:t>2.</w:t>
      </w:r>
      <w:r>
        <w:rPr>
          <w:rFonts w:hint="eastAsia" w:eastAsia="宋体"/>
          <w:sz w:val="24"/>
          <w:lang w:val="en-US" w:eastAsia="zh-CN"/>
        </w:rPr>
        <w:t>付款前，</w:t>
      </w:r>
      <w:r>
        <w:rPr>
          <w:rFonts w:hint="eastAsia" w:eastAsia="宋体"/>
          <w:sz w:val="24"/>
          <w:lang w:eastAsia="zh-CN"/>
        </w:rPr>
        <w:t>乙方</w:t>
      </w:r>
      <w:r>
        <w:rPr>
          <w:rFonts w:hint="eastAsia" w:eastAsia="宋体"/>
          <w:sz w:val="24"/>
          <w:lang w:val="en-US" w:eastAsia="zh-CN"/>
        </w:rPr>
        <w:t>应向</w:t>
      </w:r>
      <w:r>
        <w:rPr>
          <w:rFonts w:hint="eastAsia" w:eastAsia="宋体"/>
          <w:sz w:val="24"/>
          <w:lang w:eastAsia="zh-CN"/>
        </w:rPr>
        <w:t>甲方</w:t>
      </w:r>
      <w:r>
        <w:rPr>
          <w:rFonts w:hint="eastAsia" w:eastAsia="宋体"/>
          <w:sz w:val="24"/>
          <w:lang w:val="en-US" w:eastAsia="zh-CN"/>
        </w:rPr>
        <w:t>出具等额合法有效的增值税专用发票及付款申请材料，否则，</w:t>
      </w:r>
      <w:r>
        <w:rPr>
          <w:rFonts w:hint="eastAsia" w:eastAsia="宋体"/>
          <w:sz w:val="24"/>
          <w:lang w:eastAsia="zh-CN"/>
        </w:rPr>
        <w:t>甲方</w:t>
      </w:r>
      <w:r>
        <w:rPr>
          <w:rFonts w:hint="eastAsia" w:eastAsia="宋体"/>
          <w:sz w:val="24"/>
          <w:lang w:val="en-US" w:eastAsia="zh-CN"/>
        </w:rPr>
        <w:t>有权拒绝支付，且不承担任何迟延履行的法律责任。</w:t>
      </w:r>
    </w:p>
    <w:p w14:paraId="522B28DB">
      <w:pPr>
        <w:keepNext w:val="0"/>
        <w:keepLines w:val="0"/>
        <w:pageBreakBefore w:val="0"/>
        <w:widowControl w:val="0"/>
        <w:kinsoku/>
        <w:wordWrap/>
        <w:overflowPunct/>
        <w:topLinePunct w:val="0"/>
        <w:autoSpaceDE/>
        <w:autoSpaceDN/>
        <w:bidi w:val="0"/>
        <w:snapToGrid/>
        <w:spacing w:line="509" w:lineRule="exact"/>
        <w:ind w:firstLine="480" w:firstLineChars="200"/>
        <w:rPr>
          <w:sz w:val="24"/>
        </w:rPr>
      </w:pPr>
      <w:r>
        <w:rPr>
          <w:sz w:val="24"/>
        </w:rPr>
        <w:t>乙方指定收款银行账户如下：</w:t>
      </w:r>
    </w:p>
    <w:p w14:paraId="2B4CA80D">
      <w:pPr>
        <w:keepNext w:val="0"/>
        <w:keepLines w:val="0"/>
        <w:pageBreakBefore w:val="0"/>
        <w:widowControl w:val="0"/>
        <w:kinsoku/>
        <w:wordWrap/>
        <w:overflowPunct/>
        <w:topLinePunct w:val="0"/>
        <w:autoSpaceDE/>
        <w:autoSpaceDN/>
        <w:bidi w:val="0"/>
        <w:snapToGrid/>
        <w:spacing w:line="509" w:lineRule="exact"/>
        <w:ind w:firstLine="480" w:firstLineChars="200"/>
        <w:rPr>
          <w:sz w:val="24"/>
        </w:rPr>
      </w:pPr>
      <w:r>
        <w:rPr>
          <w:sz w:val="24"/>
        </w:rPr>
        <w:t>户</w:t>
      </w:r>
      <w:r>
        <w:rPr>
          <w:rFonts w:hint="eastAsia"/>
          <w:sz w:val="24"/>
        </w:rPr>
        <w:t xml:space="preserve">  </w:t>
      </w:r>
      <w:r>
        <w:rPr>
          <w:sz w:val="24"/>
        </w:rPr>
        <w:t>名：</w:t>
      </w:r>
    </w:p>
    <w:p w14:paraId="7AAB65CD">
      <w:pPr>
        <w:keepNext w:val="0"/>
        <w:keepLines w:val="0"/>
        <w:pageBreakBefore w:val="0"/>
        <w:widowControl w:val="0"/>
        <w:kinsoku/>
        <w:wordWrap/>
        <w:overflowPunct/>
        <w:topLinePunct w:val="0"/>
        <w:autoSpaceDE/>
        <w:autoSpaceDN/>
        <w:bidi w:val="0"/>
        <w:snapToGrid/>
        <w:spacing w:line="509" w:lineRule="exact"/>
        <w:ind w:firstLine="480" w:firstLineChars="200"/>
        <w:rPr>
          <w:sz w:val="24"/>
        </w:rPr>
      </w:pPr>
      <w:r>
        <w:rPr>
          <w:sz w:val="24"/>
        </w:rPr>
        <w:t>账</w:t>
      </w:r>
      <w:r>
        <w:rPr>
          <w:rFonts w:hint="eastAsia"/>
          <w:sz w:val="24"/>
        </w:rPr>
        <w:t xml:space="preserve">  </w:t>
      </w:r>
      <w:r>
        <w:rPr>
          <w:sz w:val="24"/>
        </w:rPr>
        <w:t>号：</w:t>
      </w:r>
    </w:p>
    <w:p w14:paraId="123E919D">
      <w:pPr>
        <w:keepNext w:val="0"/>
        <w:keepLines w:val="0"/>
        <w:pageBreakBefore w:val="0"/>
        <w:widowControl w:val="0"/>
        <w:kinsoku/>
        <w:wordWrap/>
        <w:overflowPunct/>
        <w:topLinePunct w:val="0"/>
        <w:autoSpaceDE/>
        <w:autoSpaceDN/>
        <w:bidi w:val="0"/>
        <w:snapToGrid/>
        <w:spacing w:line="509" w:lineRule="exact"/>
        <w:ind w:firstLine="480" w:firstLineChars="200"/>
        <w:rPr>
          <w:sz w:val="24"/>
        </w:rPr>
      </w:pPr>
      <w:r>
        <w:rPr>
          <w:sz w:val="24"/>
        </w:rPr>
        <w:t>开户行：</w:t>
      </w:r>
    </w:p>
    <w:p w14:paraId="7B7F5F8F">
      <w:pPr>
        <w:keepNext w:val="0"/>
        <w:keepLines w:val="0"/>
        <w:pageBreakBefore w:val="0"/>
        <w:widowControl w:val="0"/>
        <w:kinsoku/>
        <w:wordWrap/>
        <w:overflowPunct/>
        <w:topLinePunct w:val="0"/>
        <w:autoSpaceDE/>
        <w:autoSpaceDN/>
        <w:bidi w:val="0"/>
        <w:snapToGrid/>
        <w:spacing w:line="509" w:lineRule="exact"/>
        <w:ind w:left="426"/>
        <w:rPr>
          <w:b/>
          <w:sz w:val="24"/>
        </w:rPr>
      </w:pPr>
      <w:r>
        <w:rPr>
          <w:rFonts w:hint="eastAsia"/>
          <w:b/>
          <w:sz w:val="24"/>
        </w:rPr>
        <w:t xml:space="preserve">第五条  </w:t>
      </w:r>
      <w:r>
        <w:rPr>
          <w:b/>
          <w:sz w:val="24"/>
        </w:rPr>
        <w:t>知识产权</w:t>
      </w:r>
    </w:p>
    <w:p w14:paraId="2514EC3B">
      <w:pPr>
        <w:keepNext w:val="0"/>
        <w:keepLines w:val="0"/>
        <w:pageBreakBefore w:val="0"/>
        <w:widowControl w:val="0"/>
        <w:tabs>
          <w:tab w:val="left" w:pos="1440"/>
        </w:tabs>
        <w:kinsoku/>
        <w:wordWrap/>
        <w:overflowPunct/>
        <w:topLinePunct w:val="0"/>
        <w:autoSpaceDE/>
        <w:autoSpaceDN/>
        <w:bidi w:val="0"/>
        <w:snapToGrid/>
        <w:spacing w:line="509" w:lineRule="exact"/>
        <w:ind w:firstLine="480" w:firstLineChars="200"/>
        <w:rPr>
          <w:sz w:val="24"/>
        </w:rPr>
      </w:pPr>
      <w:r>
        <w:rPr>
          <w:sz w:val="24"/>
        </w:rPr>
        <w:t>乙方应保证所提供的服务或其任何一部分均不会侵犯任何第三方的专利权、商标权或著作权。</w:t>
      </w:r>
      <w:r>
        <w:rPr>
          <w:rFonts w:hint="eastAsia"/>
          <w:sz w:val="24"/>
        </w:rPr>
        <w:t>乙方所提交的工作成果归属甲方所有，未经甲方事先书面许可，乙方不得擅自使用或向其他任意第三方披露，否则，由此给甲方造成的一切损失由乙方承担。</w:t>
      </w:r>
    </w:p>
    <w:p w14:paraId="6866030B">
      <w:pPr>
        <w:keepNext w:val="0"/>
        <w:keepLines w:val="0"/>
        <w:pageBreakBefore w:val="0"/>
        <w:widowControl w:val="0"/>
        <w:kinsoku/>
        <w:wordWrap/>
        <w:overflowPunct/>
        <w:topLinePunct w:val="0"/>
        <w:autoSpaceDE/>
        <w:autoSpaceDN/>
        <w:bidi w:val="0"/>
        <w:snapToGrid/>
        <w:spacing w:line="509" w:lineRule="exact"/>
        <w:ind w:left="426"/>
        <w:rPr>
          <w:b/>
          <w:sz w:val="24"/>
        </w:rPr>
      </w:pPr>
      <w:r>
        <w:rPr>
          <w:rFonts w:hint="eastAsia"/>
          <w:b/>
          <w:sz w:val="24"/>
        </w:rPr>
        <w:t xml:space="preserve">第六条  </w:t>
      </w:r>
      <w:r>
        <w:rPr>
          <w:b/>
          <w:sz w:val="24"/>
        </w:rPr>
        <w:t>无产权瑕疵条款</w:t>
      </w:r>
    </w:p>
    <w:p w14:paraId="05905B2A">
      <w:pPr>
        <w:keepNext w:val="0"/>
        <w:keepLines w:val="0"/>
        <w:pageBreakBefore w:val="0"/>
        <w:widowControl w:val="0"/>
        <w:tabs>
          <w:tab w:val="left" w:pos="1440"/>
        </w:tabs>
        <w:kinsoku/>
        <w:wordWrap/>
        <w:overflowPunct/>
        <w:topLinePunct w:val="0"/>
        <w:autoSpaceDE/>
        <w:autoSpaceDN/>
        <w:bidi w:val="0"/>
        <w:snapToGrid/>
        <w:spacing w:line="509" w:lineRule="exact"/>
        <w:ind w:firstLine="480" w:firstLineChars="200"/>
        <w:rPr>
          <w:sz w:val="24"/>
        </w:rPr>
      </w:pPr>
      <w:r>
        <w:rPr>
          <w:sz w:val="24"/>
        </w:rPr>
        <w:t>乙方保证所提供的服务的所有权完全属于乙方且无任何抵押、查封等产权瑕疵。如有产权瑕疵的，视为乙方违约。乙方应负担由此而产生的一切损失。</w:t>
      </w:r>
    </w:p>
    <w:p w14:paraId="055D418B">
      <w:pPr>
        <w:keepNext w:val="0"/>
        <w:keepLines w:val="0"/>
        <w:pageBreakBefore w:val="0"/>
        <w:widowControl w:val="0"/>
        <w:kinsoku/>
        <w:wordWrap/>
        <w:overflowPunct/>
        <w:topLinePunct w:val="0"/>
        <w:autoSpaceDE/>
        <w:autoSpaceDN/>
        <w:bidi w:val="0"/>
        <w:snapToGrid/>
        <w:spacing w:line="509" w:lineRule="exact"/>
        <w:ind w:left="426"/>
        <w:rPr>
          <w:b/>
          <w:sz w:val="24"/>
        </w:rPr>
      </w:pPr>
      <w:r>
        <w:rPr>
          <w:rFonts w:hint="eastAsia"/>
          <w:b/>
          <w:sz w:val="24"/>
        </w:rPr>
        <w:t>第</w:t>
      </w:r>
      <w:r>
        <w:rPr>
          <w:rFonts w:hint="eastAsia"/>
          <w:b/>
          <w:sz w:val="24"/>
          <w:lang w:eastAsia="zh-CN"/>
        </w:rPr>
        <w:t>七</w:t>
      </w:r>
      <w:r>
        <w:rPr>
          <w:rFonts w:hint="eastAsia"/>
          <w:b/>
          <w:sz w:val="24"/>
        </w:rPr>
        <w:t xml:space="preserve">条  </w:t>
      </w:r>
      <w:r>
        <w:rPr>
          <w:b/>
          <w:sz w:val="24"/>
        </w:rPr>
        <w:t>甲方的权利和义务</w:t>
      </w:r>
    </w:p>
    <w:p w14:paraId="66DBAA95">
      <w:pPr>
        <w:keepNext w:val="0"/>
        <w:keepLines w:val="0"/>
        <w:pageBreakBefore w:val="0"/>
        <w:widowControl w:val="0"/>
        <w:kinsoku/>
        <w:wordWrap/>
        <w:overflowPunct/>
        <w:topLinePunct w:val="0"/>
        <w:autoSpaceDE/>
        <w:autoSpaceDN/>
        <w:bidi w:val="0"/>
        <w:adjustRightInd w:val="0"/>
        <w:snapToGrid/>
        <w:spacing w:line="509" w:lineRule="exact"/>
        <w:ind w:firstLine="480" w:firstLineChars="200"/>
        <w:jc w:val="left"/>
        <w:textAlignment w:val="baseline"/>
        <w:rPr>
          <w:bCs/>
          <w:sz w:val="24"/>
        </w:rPr>
      </w:pPr>
      <w:r>
        <w:rPr>
          <w:bCs/>
          <w:sz w:val="24"/>
        </w:rPr>
        <w:t>1、甲方有权对合同规定范围内乙方的服务行为进行监督和检查，拥有监管权。有权定期核对乙方提供服务所配备的人员数量。对甲方认为不合理的部分有权下达整改通知书，并要求乙方限期整改。乙方无合理理由拒不整改的，甲方有权解除</w:t>
      </w:r>
      <w:r>
        <w:rPr>
          <w:rFonts w:hint="eastAsia"/>
          <w:bCs/>
          <w:sz w:val="24"/>
        </w:rPr>
        <w:t>本合同，要求乙方退还已经支付的全部合同款项，并赔偿由此对甲方造成的全部损失。</w:t>
      </w:r>
    </w:p>
    <w:p w14:paraId="3CA3452C">
      <w:pPr>
        <w:keepNext w:val="0"/>
        <w:keepLines w:val="0"/>
        <w:pageBreakBefore w:val="0"/>
        <w:widowControl w:val="0"/>
        <w:kinsoku/>
        <w:wordWrap/>
        <w:overflowPunct/>
        <w:topLinePunct w:val="0"/>
        <w:autoSpaceDE/>
        <w:autoSpaceDN/>
        <w:bidi w:val="0"/>
        <w:adjustRightInd w:val="0"/>
        <w:snapToGrid/>
        <w:spacing w:line="509" w:lineRule="exact"/>
        <w:ind w:firstLine="480" w:firstLineChars="200"/>
        <w:jc w:val="left"/>
        <w:textAlignment w:val="baseline"/>
        <w:rPr>
          <w:bCs/>
          <w:sz w:val="24"/>
        </w:rPr>
      </w:pPr>
      <w:r>
        <w:rPr>
          <w:rFonts w:hint="eastAsia"/>
          <w:bCs/>
          <w:sz w:val="24"/>
          <w:lang w:val="en-US" w:eastAsia="zh-CN"/>
        </w:rPr>
        <w:t>2</w:t>
      </w:r>
      <w:r>
        <w:rPr>
          <w:bCs/>
          <w:sz w:val="24"/>
        </w:rPr>
        <w:t>、负责检查监督乙方管理工作的实施及制度的执行情况。</w:t>
      </w:r>
    </w:p>
    <w:p w14:paraId="53723C7A">
      <w:pPr>
        <w:keepNext w:val="0"/>
        <w:keepLines w:val="0"/>
        <w:pageBreakBefore w:val="0"/>
        <w:widowControl w:val="0"/>
        <w:kinsoku/>
        <w:wordWrap/>
        <w:overflowPunct/>
        <w:topLinePunct w:val="0"/>
        <w:autoSpaceDE/>
        <w:autoSpaceDN/>
        <w:bidi w:val="0"/>
        <w:adjustRightInd w:val="0"/>
        <w:snapToGrid/>
        <w:spacing w:line="509" w:lineRule="exact"/>
        <w:ind w:firstLine="480" w:firstLineChars="200"/>
        <w:jc w:val="left"/>
        <w:textAlignment w:val="baseline"/>
        <w:rPr>
          <w:bCs/>
          <w:sz w:val="24"/>
        </w:rPr>
      </w:pPr>
      <w:r>
        <w:rPr>
          <w:rFonts w:hint="eastAsia"/>
          <w:bCs/>
          <w:sz w:val="24"/>
          <w:lang w:val="en-US" w:eastAsia="zh-CN"/>
        </w:rPr>
        <w:t>3</w:t>
      </w:r>
      <w:r>
        <w:rPr>
          <w:bCs/>
          <w:sz w:val="24"/>
        </w:rPr>
        <w:t>、根据本合同规定，按时向乙方支付应付服务费用。</w:t>
      </w:r>
    </w:p>
    <w:p w14:paraId="2B648746">
      <w:pPr>
        <w:keepNext w:val="0"/>
        <w:keepLines w:val="0"/>
        <w:pageBreakBefore w:val="0"/>
        <w:widowControl w:val="0"/>
        <w:kinsoku/>
        <w:wordWrap/>
        <w:overflowPunct/>
        <w:topLinePunct w:val="0"/>
        <w:autoSpaceDE/>
        <w:autoSpaceDN/>
        <w:bidi w:val="0"/>
        <w:adjustRightInd w:val="0"/>
        <w:snapToGrid/>
        <w:spacing w:line="509" w:lineRule="exact"/>
        <w:ind w:firstLine="480" w:firstLineChars="200"/>
        <w:jc w:val="left"/>
        <w:textAlignment w:val="baseline"/>
        <w:rPr>
          <w:bCs/>
          <w:sz w:val="24"/>
        </w:rPr>
      </w:pPr>
      <w:r>
        <w:rPr>
          <w:rFonts w:hint="eastAsia"/>
          <w:bCs/>
          <w:sz w:val="24"/>
          <w:lang w:val="en-US" w:eastAsia="zh-CN"/>
        </w:rPr>
        <w:t>4</w:t>
      </w:r>
      <w:r>
        <w:rPr>
          <w:bCs/>
          <w:sz w:val="24"/>
        </w:rPr>
        <w:t>、国家法律、法规所规定由甲方承担的其它责任。</w:t>
      </w:r>
    </w:p>
    <w:p w14:paraId="4E67C031">
      <w:pPr>
        <w:keepNext w:val="0"/>
        <w:keepLines w:val="0"/>
        <w:pageBreakBefore w:val="0"/>
        <w:widowControl w:val="0"/>
        <w:kinsoku/>
        <w:wordWrap/>
        <w:overflowPunct/>
        <w:topLinePunct w:val="0"/>
        <w:autoSpaceDE/>
        <w:autoSpaceDN/>
        <w:bidi w:val="0"/>
        <w:snapToGrid/>
        <w:spacing w:line="509" w:lineRule="exact"/>
        <w:ind w:left="426"/>
        <w:rPr>
          <w:b/>
          <w:sz w:val="24"/>
        </w:rPr>
      </w:pPr>
      <w:r>
        <w:rPr>
          <w:rFonts w:hint="eastAsia"/>
          <w:b/>
          <w:sz w:val="24"/>
        </w:rPr>
        <w:t>第</w:t>
      </w:r>
      <w:r>
        <w:rPr>
          <w:rFonts w:hint="eastAsia"/>
          <w:b/>
          <w:sz w:val="24"/>
          <w:lang w:eastAsia="zh-CN"/>
        </w:rPr>
        <w:t>八</w:t>
      </w:r>
      <w:r>
        <w:rPr>
          <w:rFonts w:hint="eastAsia"/>
          <w:b/>
          <w:sz w:val="24"/>
        </w:rPr>
        <w:t xml:space="preserve">条  </w:t>
      </w:r>
      <w:r>
        <w:rPr>
          <w:b/>
          <w:sz w:val="24"/>
        </w:rPr>
        <w:t>乙方的权利和义务</w:t>
      </w:r>
    </w:p>
    <w:p w14:paraId="1ABC0180">
      <w:pPr>
        <w:keepNext w:val="0"/>
        <w:keepLines w:val="0"/>
        <w:pageBreakBefore w:val="0"/>
        <w:widowControl w:val="0"/>
        <w:kinsoku/>
        <w:wordWrap/>
        <w:overflowPunct/>
        <w:topLinePunct w:val="0"/>
        <w:autoSpaceDE/>
        <w:autoSpaceDN/>
        <w:bidi w:val="0"/>
        <w:adjustRightInd w:val="0"/>
        <w:snapToGrid/>
        <w:spacing w:line="509" w:lineRule="exact"/>
        <w:ind w:firstLine="480" w:firstLineChars="200"/>
        <w:jc w:val="left"/>
        <w:textAlignment w:val="baseline"/>
        <w:rPr>
          <w:bCs/>
          <w:sz w:val="24"/>
        </w:rPr>
      </w:pPr>
      <w:r>
        <w:rPr>
          <w:bCs/>
          <w:sz w:val="24"/>
        </w:rPr>
        <w:t>1、对本合同规定的委托服务范围内的项目享有管理权及服务义务。</w:t>
      </w:r>
    </w:p>
    <w:p w14:paraId="40E87E44">
      <w:pPr>
        <w:keepNext w:val="0"/>
        <w:keepLines w:val="0"/>
        <w:pageBreakBefore w:val="0"/>
        <w:widowControl w:val="0"/>
        <w:kinsoku/>
        <w:wordWrap/>
        <w:overflowPunct/>
        <w:topLinePunct w:val="0"/>
        <w:autoSpaceDE/>
        <w:autoSpaceDN/>
        <w:bidi w:val="0"/>
        <w:adjustRightInd w:val="0"/>
        <w:snapToGrid/>
        <w:spacing w:line="509" w:lineRule="exact"/>
        <w:ind w:firstLine="480" w:firstLineChars="200"/>
        <w:jc w:val="left"/>
        <w:textAlignment w:val="baseline"/>
        <w:rPr>
          <w:bCs/>
          <w:sz w:val="24"/>
        </w:rPr>
      </w:pPr>
      <w:r>
        <w:rPr>
          <w:bCs/>
          <w:sz w:val="24"/>
        </w:rPr>
        <w:t>2、根据本合同的规定向甲方收取相关服务费用，并有权在本项目管理范围内管理及合理使用。</w:t>
      </w:r>
    </w:p>
    <w:p w14:paraId="07DAED85">
      <w:pPr>
        <w:keepNext w:val="0"/>
        <w:keepLines w:val="0"/>
        <w:pageBreakBefore w:val="0"/>
        <w:widowControl w:val="0"/>
        <w:kinsoku/>
        <w:wordWrap/>
        <w:overflowPunct/>
        <w:topLinePunct w:val="0"/>
        <w:autoSpaceDE/>
        <w:autoSpaceDN/>
        <w:bidi w:val="0"/>
        <w:adjustRightInd w:val="0"/>
        <w:snapToGrid/>
        <w:spacing w:line="509" w:lineRule="exact"/>
        <w:ind w:firstLine="480" w:firstLineChars="200"/>
        <w:jc w:val="left"/>
        <w:textAlignment w:val="baseline"/>
        <w:rPr>
          <w:sz w:val="24"/>
        </w:rPr>
      </w:pPr>
      <w:r>
        <w:rPr>
          <w:sz w:val="24"/>
        </w:rPr>
        <w:t>3、及时向甲方通告本项目服务范围内有关服务的重大事项，及时配合处理投诉。</w:t>
      </w:r>
    </w:p>
    <w:p w14:paraId="2F8AA30A">
      <w:pPr>
        <w:keepNext w:val="0"/>
        <w:keepLines w:val="0"/>
        <w:pageBreakBefore w:val="0"/>
        <w:widowControl w:val="0"/>
        <w:kinsoku/>
        <w:wordWrap/>
        <w:overflowPunct/>
        <w:topLinePunct w:val="0"/>
        <w:autoSpaceDE/>
        <w:autoSpaceDN/>
        <w:bidi w:val="0"/>
        <w:adjustRightInd w:val="0"/>
        <w:snapToGrid/>
        <w:spacing w:line="509" w:lineRule="exact"/>
        <w:ind w:firstLine="480" w:firstLineChars="200"/>
        <w:jc w:val="left"/>
        <w:textAlignment w:val="baseline"/>
        <w:rPr>
          <w:bCs/>
          <w:sz w:val="24"/>
        </w:rPr>
      </w:pPr>
      <w:r>
        <w:rPr>
          <w:sz w:val="24"/>
        </w:rPr>
        <w:t>4、</w:t>
      </w:r>
      <w:r>
        <w:rPr>
          <w:bCs/>
          <w:sz w:val="24"/>
        </w:rPr>
        <w:t>接受项目行业管理部门及政府有关部门的指导，接受甲方的监督。</w:t>
      </w:r>
    </w:p>
    <w:p w14:paraId="79500B18">
      <w:pPr>
        <w:keepNext w:val="0"/>
        <w:keepLines w:val="0"/>
        <w:pageBreakBefore w:val="0"/>
        <w:widowControl w:val="0"/>
        <w:kinsoku/>
        <w:wordWrap/>
        <w:overflowPunct/>
        <w:topLinePunct w:val="0"/>
        <w:autoSpaceDE/>
        <w:autoSpaceDN/>
        <w:bidi w:val="0"/>
        <w:adjustRightInd w:val="0"/>
        <w:snapToGrid/>
        <w:spacing w:line="509" w:lineRule="exact"/>
        <w:ind w:firstLine="480" w:firstLineChars="200"/>
        <w:jc w:val="left"/>
        <w:textAlignment w:val="baseline"/>
        <w:rPr>
          <w:bCs/>
          <w:sz w:val="24"/>
        </w:rPr>
      </w:pPr>
      <w:r>
        <w:rPr>
          <w:bCs/>
          <w:sz w:val="24"/>
        </w:rPr>
        <w:t>5、国家法律、法规所规定由乙方承担的其它责任。</w:t>
      </w:r>
    </w:p>
    <w:p w14:paraId="4CD5BF3E">
      <w:pPr>
        <w:keepNext w:val="0"/>
        <w:keepLines w:val="0"/>
        <w:pageBreakBefore w:val="0"/>
        <w:widowControl w:val="0"/>
        <w:kinsoku/>
        <w:wordWrap/>
        <w:overflowPunct/>
        <w:topLinePunct w:val="0"/>
        <w:autoSpaceDE/>
        <w:autoSpaceDN/>
        <w:bidi w:val="0"/>
        <w:snapToGrid/>
        <w:spacing w:line="509" w:lineRule="exact"/>
        <w:ind w:left="426"/>
        <w:rPr>
          <w:b/>
          <w:sz w:val="24"/>
        </w:rPr>
      </w:pPr>
      <w:r>
        <w:rPr>
          <w:rFonts w:hint="eastAsia"/>
          <w:b/>
          <w:sz w:val="24"/>
        </w:rPr>
        <w:t>第</w:t>
      </w:r>
      <w:r>
        <w:rPr>
          <w:rFonts w:hint="eastAsia"/>
          <w:b/>
          <w:sz w:val="24"/>
          <w:lang w:eastAsia="zh-CN"/>
        </w:rPr>
        <w:t>九</w:t>
      </w:r>
      <w:r>
        <w:rPr>
          <w:rFonts w:hint="eastAsia"/>
          <w:b/>
          <w:sz w:val="24"/>
        </w:rPr>
        <w:t xml:space="preserve">条  </w:t>
      </w:r>
      <w:r>
        <w:rPr>
          <w:b/>
          <w:sz w:val="24"/>
        </w:rPr>
        <w:t>违约责任</w:t>
      </w:r>
    </w:p>
    <w:p w14:paraId="02F249B8">
      <w:pPr>
        <w:keepNext w:val="0"/>
        <w:keepLines w:val="0"/>
        <w:pageBreakBefore w:val="0"/>
        <w:widowControl w:val="0"/>
        <w:kinsoku/>
        <w:wordWrap/>
        <w:overflowPunct/>
        <w:topLinePunct w:val="0"/>
        <w:autoSpaceDE/>
        <w:autoSpaceDN/>
        <w:bidi w:val="0"/>
        <w:adjustRightInd w:val="0"/>
        <w:snapToGrid/>
        <w:spacing w:line="509" w:lineRule="exact"/>
        <w:ind w:firstLine="480" w:firstLineChars="200"/>
        <w:jc w:val="left"/>
        <w:textAlignment w:val="baseline"/>
        <w:rPr>
          <w:bCs/>
          <w:sz w:val="24"/>
        </w:rPr>
      </w:pPr>
      <w:r>
        <w:rPr>
          <w:bCs/>
          <w:sz w:val="24"/>
        </w:rPr>
        <w:t>1、甲乙双方必须遵守本合同并执行合同中的各项规定，保证本合同的正常履行。</w:t>
      </w:r>
    </w:p>
    <w:p w14:paraId="6B031FAE">
      <w:pPr>
        <w:keepNext w:val="0"/>
        <w:keepLines w:val="0"/>
        <w:pageBreakBefore w:val="0"/>
        <w:widowControl w:val="0"/>
        <w:kinsoku/>
        <w:wordWrap/>
        <w:overflowPunct/>
        <w:topLinePunct w:val="0"/>
        <w:autoSpaceDE/>
        <w:autoSpaceDN/>
        <w:bidi w:val="0"/>
        <w:adjustRightInd w:val="0"/>
        <w:snapToGrid/>
        <w:spacing w:line="509" w:lineRule="exact"/>
        <w:ind w:firstLine="480" w:firstLineChars="200"/>
        <w:jc w:val="left"/>
        <w:textAlignment w:val="baseline"/>
        <w:rPr>
          <w:bCs/>
          <w:sz w:val="24"/>
        </w:rPr>
      </w:pPr>
      <w:r>
        <w:rPr>
          <w:bCs/>
          <w:sz w:val="24"/>
        </w:rPr>
        <w:t>2、乙方应严格按照本合同约定的工作完成期限执行，否则，每逾期一日，乙方应按本合同金额的</w:t>
      </w:r>
      <w:r>
        <w:rPr>
          <w:rFonts w:hint="eastAsia"/>
          <w:bCs/>
          <w:sz w:val="24"/>
          <w:lang w:val="en-US" w:eastAsia="zh-CN"/>
        </w:rPr>
        <w:t>千</w:t>
      </w:r>
      <w:r>
        <w:rPr>
          <w:bCs/>
          <w:sz w:val="24"/>
        </w:rPr>
        <w:t>分之五向甲方支付违约金，逾期超过15日的，甲方有权解除</w:t>
      </w:r>
      <w:r>
        <w:rPr>
          <w:rFonts w:hint="eastAsia"/>
          <w:bCs/>
          <w:sz w:val="24"/>
        </w:rPr>
        <w:t>本合同，要求乙方退还已经支付的全部合同款项，并赔偿由此对甲方造成的全部损失。</w:t>
      </w:r>
    </w:p>
    <w:p w14:paraId="1A33E876">
      <w:pPr>
        <w:keepNext w:val="0"/>
        <w:keepLines w:val="0"/>
        <w:pageBreakBefore w:val="0"/>
        <w:widowControl w:val="0"/>
        <w:kinsoku/>
        <w:wordWrap/>
        <w:overflowPunct/>
        <w:topLinePunct w:val="0"/>
        <w:autoSpaceDE/>
        <w:autoSpaceDN/>
        <w:bidi w:val="0"/>
        <w:adjustRightInd w:val="0"/>
        <w:snapToGrid/>
        <w:spacing w:line="509" w:lineRule="exact"/>
        <w:ind w:firstLine="480" w:firstLineChars="200"/>
        <w:jc w:val="left"/>
        <w:textAlignment w:val="baseline"/>
        <w:rPr>
          <w:bCs/>
          <w:sz w:val="24"/>
        </w:rPr>
      </w:pPr>
      <w:r>
        <w:rPr>
          <w:bCs/>
          <w:sz w:val="24"/>
        </w:rPr>
        <w:t>3</w:t>
      </w:r>
      <w:r>
        <w:rPr>
          <w:rFonts w:hint="eastAsia"/>
          <w:bCs/>
          <w:sz w:val="24"/>
        </w:rPr>
        <w:t>、</w:t>
      </w:r>
      <w:r>
        <w:rPr>
          <w:bCs/>
          <w:sz w:val="24"/>
        </w:rPr>
        <w:t>如因乙方工作人员在履行职务过程中给甲方造成损失或侵害，包括但不限于甲方本身的财产损失、由此而导致的甲方对任何第三方的法律责任等，乙方对此均应承担全部的赔偿责任。</w:t>
      </w:r>
    </w:p>
    <w:p w14:paraId="00ACB26C">
      <w:pPr>
        <w:keepNext w:val="0"/>
        <w:keepLines w:val="0"/>
        <w:pageBreakBefore w:val="0"/>
        <w:widowControl w:val="0"/>
        <w:kinsoku/>
        <w:wordWrap/>
        <w:overflowPunct/>
        <w:topLinePunct w:val="0"/>
        <w:autoSpaceDE/>
        <w:autoSpaceDN/>
        <w:bidi w:val="0"/>
        <w:adjustRightInd w:val="0"/>
        <w:snapToGrid/>
        <w:spacing w:line="509" w:lineRule="exact"/>
        <w:ind w:firstLine="480" w:firstLineChars="200"/>
        <w:jc w:val="left"/>
        <w:textAlignment w:val="baseline"/>
        <w:rPr>
          <w:bCs/>
          <w:sz w:val="24"/>
        </w:rPr>
      </w:pPr>
      <w:r>
        <w:rPr>
          <w:rFonts w:hint="eastAsia"/>
          <w:bCs/>
          <w:sz w:val="24"/>
        </w:rPr>
        <w:t>4、除非合同另有约定，乙方履行合同不符合合同约定，经甲方发出书面整改意见后仍不整改的，甲方有权解除合同。</w:t>
      </w:r>
    </w:p>
    <w:p w14:paraId="45063814">
      <w:pPr>
        <w:keepNext w:val="0"/>
        <w:keepLines w:val="0"/>
        <w:pageBreakBefore w:val="0"/>
        <w:widowControl w:val="0"/>
        <w:kinsoku/>
        <w:wordWrap/>
        <w:overflowPunct/>
        <w:topLinePunct w:val="0"/>
        <w:autoSpaceDE/>
        <w:autoSpaceDN/>
        <w:bidi w:val="0"/>
        <w:adjustRightInd w:val="0"/>
        <w:snapToGrid/>
        <w:spacing w:line="509" w:lineRule="exact"/>
        <w:ind w:firstLine="480" w:firstLineChars="200"/>
        <w:jc w:val="left"/>
        <w:textAlignment w:val="baseline"/>
        <w:rPr>
          <w:bCs/>
          <w:sz w:val="24"/>
        </w:rPr>
      </w:pPr>
      <w:r>
        <w:rPr>
          <w:rFonts w:hint="eastAsia"/>
          <w:bCs/>
          <w:sz w:val="24"/>
        </w:rPr>
        <w:t>5、因乙方原因导致合同解除的</w:t>
      </w:r>
      <w:r>
        <w:rPr>
          <w:rFonts w:hint="eastAsia"/>
          <w:bCs/>
          <w:sz w:val="24"/>
          <w:lang w:eastAsia="zh-CN"/>
        </w:rPr>
        <w:t>，</w:t>
      </w:r>
      <w:r>
        <w:rPr>
          <w:rFonts w:hint="eastAsia"/>
          <w:bCs/>
          <w:sz w:val="24"/>
        </w:rPr>
        <w:t>乙方承担合同总金额20%的违约金。</w:t>
      </w:r>
    </w:p>
    <w:p w14:paraId="12F43389">
      <w:pPr>
        <w:keepNext w:val="0"/>
        <w:keepLines w:val="0"/>
        <w:pageBreakBefore w:val="0"/>
        <w:widowControl w:val="0"/>
        <w:kinsoku/>
        <w:wordWrap/>
        <w:overflowPunct/>
        <w:topLinePunct w:val="0"/>
        <w:autoSpaceDE/>
        <w:autoSpaceDN/>
        <w:bidi w:val="0"/>
        <w:snapToGrid/>
        <w:spacing w:line="509" w:lineRule="exact"/>
        <w:ind w:left="426"/>
        <w:rPr>
          <w:b/>
          <w:sz w:val="24"/>
        </w:rPr>
      </w:pPr>
      <w:r>
        <w:rPr>
          <w:rFonts w:hint="eastAsia"/>
          <w:b/>
          <w:sz w:val="24"/>
        </w:rPr>
        <w:t xml:space="preserve">第十条  </w:t>
      </w:r>
      <w:r>
        <w:rPr>
          <w:b/>
          <w:sz w:val="24"/>
        </w:rPr>
        <w:t>不可抗力事件处理</w:t>
      </w:r>
    </w:p>
    <w:p w14:paraId="61C8A1CA">
      <w:pPr>
        <w:keepNext w:val="0"/>
        <w:keepLines w:val="0"/>
        <w:pageBreakBefore w:val="0"/>
        <w:widowControl w:val="0"/>
        <w:tabs>
          <w:tab w:val="left" w:pos="0"/>
        </w:tabs>
        <w:kinsoku/>
        <w:wordWrap/>
        <w:overflowPunct/>
        <w:topLinePunct w:val="0"/>
        <w:autoSpaceDE/>
        <w:autoSpaceDN/>
        <w:bidi w:val="0"/>
        <w:snapToGrid/>
        <w:spacing w:line="509" w:lineRule="exact"/>
        <w:ind w:firstLine="480" w:firstLineChars="200"/>
        <w:rPr>
          <w:sz w:val="24"/>
        </w:rPr>
      </w:pPr>
      <w:r>
        <w:rPr>
          <w:sz w:val="24"/>
        </w:rPr>
        <w:t>1、在合同有效期内，任何一方因不可抗力事件导致不能履行合同，则合同履行期可延长，其延长期与不可抗力影响期相同。</w:t>
      </w:r>
    </w:p>
    <w:p w14:paraId="171B8456">
      <w:pPr>
        <w:keepNext w:val="0"/>
        <w:keepLines w:val="0"/>
        <w:pageBreakBefore w:val="0"/>
        <w:widowControl w:val="0"/>
        <w:tabs>
          <w:tab w:val="left" w:pos="0"/>
        </w:tabs>
        <w:kinsoku/>
        <w:wordWrap/>
        <w:overflowPunct/>
        <w:topLinePunct w:val="0"/>
        <w:autoSpaceDE/>
        <w:autoSpaceDN/>
        <w:bidi w:val="0"/>
        <w:snapToGrid/>
        <w:spacing w:line="509" w:lineRule="exact"/>
        <w:ind w:firstLine="480" w:firstLineChars="200"/>
        <w:rPr>
          <w:sz w:val="24"/>
        </w:rPr>
      </w:pPr>
      <w:r>
        <w:rPr>
          <w:sz w:val="24"/>
        </w:rPr>
        <w:t>2、不可抗力事件发生后，应立即通知对方，并寄送有关权威机构出具的证明。</w:t>
      </w:r>
    </w:p>
    <w:p w14:paraId="265DB45B">
      <w:pPr>
        <w:keepNext w:val="0"/>
        <w:keepLines w:val="0"/>
        <w:pageBreakBefore w:val="0"/>
        <w:widowControl w:val="0"/>
        <w:tabs>
          <w:tab w:val="left" w:pos="0"/>
        </w:tabs>
        <w:kinsoku/>
        <w:wordWrap/>
        <w:overflowPunct/>
        <w:topLinePunct w:val="0"/>
        <w:autoSpaceDE/>
        <w:autoSpaceDN/>
        <w:bidi w:val="0"/>
        <w:snapToGrid/>
        <w:spacing w:line="509" w:lineRule="exact"/>
        <w:ind w:firstLine="480" w:firstLineChars="200"/>
        <w:rPr>
          <w:sz w:val="24"/>
        </w:rPr>
      </w:pPr>
      <w:r>
        <w:rPr>
          <w:sz w:val="24"/>
        </w:rPr>
        <w:t>3、不可抗力事件延续七天以上，双方应通过友好协商，确定是否继续履行合同。</w:t>
      </w:r>
    </w:p>
    <w:p w14:paraId="5C92F24C">
      <w:pPr>
        <w:keepNext w:val="0"/>
        <w:keepLines w:val="0"/>
        <w:pageBreakBefore w:val="0"/>
        <w:widowControl w:val="0"/>
        <w:kinsoku/>
        <w:wordWrap/>
        <w:overflowPunct/>
        <w:topLinePunct w:val="0"/>
        <w:autoSpaceDE/>
        <w:autoSpaceDN/>
        <w:bidi w:val="0"/>
        <w:snapToGrid/>
        <w:spacing w:line="509" w:lineRule="exact"/>
        <w:ind w:left="426"/>
        <w:rPr>
          <w:b/>
          <w:sz w:val="24"/>
        </w:rPr>
      </w:pPr>
      <w:bookmarkStart w:id="6" w:name="_Toc212019599"/>
      <w:bookmarkStart w:id="7" w:name="_Toc185395254"/>
      <w:bookmarkStart w:id="8" w:name="_Toc211911353"/>
      <w:bookmarkStart w:id="9" w:name="_Toc232492933"/>
      <w:bookmarkStart w:id="10" w:name="_Toc241833908"/>
      <w:bookmarkStart w:id="11" w:name="_Toc225670756"/>
      <w:bookmarkStart w:id="12" w:name="_Toc237145411"/>
      <w:bookmarkStart w:id="13" w:name="_Toc239568423"/>
      <w:bookmarkStart w:id="14" w:name="_Toc286993792"/>
      <w:bookmarkStart w:id="15" w:name="_Toc225244857"/>
      <w:bookmarkStart w:id="16" w:name="_Toc247334846"/>
      <w:bookmarkStart w:id="17" w:name="_Toc239233919"/>
      <w:bookmarkStart w:id="18" w:name="_Toc225654649"/>
      <w:bookmarkStart w:id="19" w:name="_Toc211854454"/>
      <w:bookmarkStart w:id="20" w:name="_Toc238984980"/>
      <w:bookmarkStart w:id="21" w:name="_Toc251768867"/>
      <w:r>
        <w:rPr>
          <w:rFonts w:hint="eastAsia"/>
          <w:b/>
          <w:sz w:val="24"/>
        </w:rPr>
        <w:t xml:space="preserve">第十一条  </w:t>
      </w:r>
      <w:r>
        <w:rPr>
          <w:b/>
          <w:sz w:val="24"/>
        </w:rPr>
        <w:t>解决合同纠纷的方式</w:t>
      </w:r>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p>
    <w:p w14:paraId="22CE4BE8">
      <w:pPr>
        <w:keepNext w:val="0"/>
        <w:keepLines w:val="0"/>
        <w:pageBreakBefore w:val="0"/>
        <w:widowControl w:val="0"/>
        <w:tabs>
          <w:tab w:val="left" w:pos="0"/>
        </w:tabs>
        <w:kinsoku/>
        <w:wordWrap/>
        <w:overflowPunct/>
        <w:topLinePunct w:val="0"/>
        <w:autoSpaceDE/>
        <w:autoSpaceDN/>
        <w:bidi w:val="0"/>
        <w:snapToGrid/>
        <w:spacing w:line="509" w:lineRule="exact"/>
        <w:ind w:firstLine="480" w:firstLineChars="200"/>
        <w:rPr>
          <w:sz w:val="24"/>
        </w:rPr>
      </w:pPr>
      <w:r>
        <w:rPr>
          <w:sz w:val="24"/>
        </w:rPr>
        <w:t>1、在执行本合同中发生的或与本合同有关的争端，双方应通过友好协商解决，经协商在</w:t>
      </w:r>
      <w:r>
        <w:rPr>
          <w:sz w:val="24"/>
          <w:szCs w:val="21"/>
          <w:u w:val="single"/>
        </w:rPr>
        <w:t>15</w:t>
      </w:r>
      <w:r>
        <w:rPr>
          <w:sz w:val="24"/>
        </w:rPr>
        <w:t>天内不能达成协议时，</w:t>
      </w:r>
      <w:r>
        <w:rPr>
          <w:rFonts w:hint="eastAsia" w:ascii="宋体" w:hAnsi="宋体" w:eastAsia="宋体" w:cs="宋体"/>
          <w:bCs/>
          <w:sz w:val="24"/>
          <w:szCs w:val="18"/>
        </w:rPr>
        <w:t>可向甲方所在地人民法院起诉</w:t>
      </w:r>
      <w:r>
        <w:rPr>
          <w:sz w:val="24"/>
        </w:rPr>
        <w:t>。</w:t>
      </w:r>
    </w:p>
    <w:p w14:paraId="007E7070">
      <w:pPr>
        <w:keepNext w:val="0"/>
        <w:keepLines w:val="0"/>
        <w:pageBreakBefore w:val="0"/>
        <w:widowControl w:val="0"/>
        <w:tabs>
          <w:tab w:val="left" w:pos="0"/>
        </w:tabs>
        <w:kinsoku/>
        <w:wordWrap/>
        <w:overflowPunct/>
        <w:topLinePunct w:val="0"/>
        <w:autoSpaceDE/>
        <w:autoSpaceDN/>
        <w:bidi w:val="0"/>
        <w:snapToGrid/>
        <w:spacing w:line="509" w:lineRule="exact"/>
        <w:ind w:firstLine="480" w:firstLineChars="200"/>
        <w:rPr>
          <w:sz w:val="24"/>
        </w:rPr>
      </w:pPr>
      <w:r>
        <w:rPr>
          <w:sz w:val="24"/>
        </w:rPr>
        <w:t>2、</w:t>
      </w:r>
      <w:r>
        <w:rPr>
          <w:rFonts w:hint="eastAsia"/>
          <w:sz w:val="24"/>
          <w:lang w:val="en-US" w:eastAsia="zh-CN"/>
        </w:rPr>
        <w:t>起诉结果</w:t>
      </w:r>
      <w:r>
        <w:rPr>
          <w:sz w:val="24"/>
        </w:rPr>
        <w:t>应为最终决定，并对双方具有约束力。</w:t>
      </w:r>
    </w:p>
    <w:p w14:paraId="2D4F7A6A">
      <w:pPr>
        <w:keepNext w:val="0"/>
        <w:keepLines w:val="0"/>
        <w:pageBreakBefore w:val="0"/>
        <w:widowControl w:val="0"/>
        <w:tabs>
          <w:tab w:val="left" w:pos="0"/>
        </w:tabs>
        <w:kinsoku/>
        <w:wordWrap/>
        <w:overflowPunct/>
        <w:topLinePunct w:val="0"/>
        <w:autoSpaceDE/>
        <w:autoSpaceDN/>
        <w:bidi w:val="0"/>
        <w:snapToGrid/>
        <w:spacing w:line="509" w:lineRule="exact"/>
        <w:ind w:firstLine="480" w:firstLineChars="200"/>
        <w:rPr>
          <w:sz w:val="24"/>
        </w:rPr>
      </w:pPr>
      <w:r>
        <w:rPr>
          <w:sz w:val="24"/>
        </w:rPr>
        <w:t>3、除另有</w:t>
      </w:r>
      <w:r>
        <w:rPr>
          <w:rFonts w:hint="eastAsia"/>
          <w:sz w:val="24"/>
          <w:lang w:val="en-US" w:eastAsia="zh-CN"/>
        </w:rPr>
        <w:t>起诉结果</w:t>
      </w:r>
      <w:r>
        <w:rPr>
          <w:sz w:val="24"/>
        </w:rPr>
        <w:t>外，</w:t>
      </w:r>
      <w:r>
        <w:rPr>
          <w:rFonts w:hint="eastAsia"/>
          <w:sz w:val="24"/>
          <w:lang w:val="en-US" w:eastAsia="zh-CN"/>
        </w:rPr>
        <w:t>起诉</w:t>
      </w:r>
      <w:r>
        <w:rPr>
          <w:sz w:val="24"/>
        </w:rPr>
        <w:t>费应由</w:t>
      </w:r>
      <w:r>
        <w:rPr>
          <w:rFonts w:hint="eastAsia"/>
          <w:sz w:val="24"/>
        </w:rPr>
        <w:t>违约方</w:t>
      </w:r>
      <w:r>
        <w:rPr>
          <w:sz w:val="24"/>
        </w:rPr>
        <w:t xml:space="preserve">负担。 </w:t>
      </w:r>
    </w:p>
    <w:p w14:paraId="5445AF0B">
      <w:pPr>
        <w:keepNext w:val="0"/>
        <w:keepLines w:val="0"/>
        <w:pageBreakBefore w:val="0"/>
        <w:widowControl w:val="0"/>
        <w:tabs>
          <w:tab w:val="left" w:pos="0"/>
        </w:tabs>
        <w:kinsoku/>
        <w:wordWrap/>
        <w:overflowPunct/>
        <w:topLinePunct w:val="0"/>
        <w:autoSpaceDE/>
        <w:autoSpaceDN/>
        <w:bidi w:val="0"/>
        <w:snapToGrid/>
        <w:spacing w:line="509" w:lineRule="exact"/>
        <w:ind w:firstLine="480" w:firstLineChars="200"/>
        <w:rPr>
          <w:sz w:val="24"/>
        </w:rPr>
      </w:pPr>
      <w:r>
        <w:rPr>
          <w:sz w:val="24"/>
        </w:rPr>
        <w:t>4、在</w:t>
      </w:r>
      <w:r>
        <w:rPr>
          <w:rFonts w:hint="eastAsia"/>
          <w:sz w:val="24"/>
          <w:lang w:val="en-US" w:eastAsia="zh-CN"/>
        </w:rPr>
        <w:t>起诉</w:t>
      </w:r>
      <w:r>
        <w:rPr>
          <w:sz w:val="24"/>
        </w:rPr>
        <w:t>期间，除正在进行</w:t>
      </w:r>
      <w:r>
        <w:rPr>
          <w:rFonts w:hint="eastAsia"/>
          <w:sz w:val="24"/>
          <w:lang w:val="en-US" w:eastAsia="zh-CN"/>
        </w:rPr>
        <w:t>起诉</w:t>
      </w:r>
      <w:r>
        <w:rPr>
          <w:sz w:val="24"/>
        </w:rPr>
        <w:t xml:space="preserve">部分外，合同其他部分继续执行。  </w:t>
      </w:r>
    </w:p>
    <w:p w14:paraId="492CB3BF">
      <w:pPr>
        <w:keepNext w:val="0"/>
        <w:keepLines w:val="0"/>
        <w:pageBreakBefore w:val="0"/>
        <w:widowControl w:val="0"/>
        <w:kinsoku/>
        <w:wordWrap/>
        <w:overflowPunct/>
        <w:topLinePunct w:val="0"/>
        <w:autoSpaceDE/>
        <w:autoSpaceDN/>
        <w:bidi w:val="0"/>
        <w:snapToGrid/>
        <w:spacing w:line="509" w:lineRule="exact"/>
        <w:ind w:left="426"/>
        <w:rPr>
          <w:b/>
          <w:sz w:val="24"/>
        </w:rPr>
      </w:pPr>
      <w:bookmarkStart w:id="22" w:name="_Toc212019600"/>
      <w:bookmarkStart w:id="23" w:name="_Toc232492934"/>
      <w:bookmarkStart w:id="24" w:name="_Toc185395255"/>
      <w:bookmarkStart w:id="25" w:name="_Toc283019219"/>
      <w:bookmarkStart w:id="26" w:name="_Toc251768868"/>
      <w:bookmarkStart w:id="27" w:name="_Toc282696231"/>
      <w:bookmarkStart w:id="28" w:name="_Toc238984981"/>
      <w:bookmarkStart w:id="29" w:name="_Toc211854455"/>
      <w:bookmarkStart w:id="30" w:name="_Toc286993793"/>
      <w:bookmarkStart w:id="31" w:name="_Toc225670757"/>
      <w:bookmarkStart w:id="32" w:name="_Toc225244858"/>
      <w:bookmarkStart w:id="33" w:name="_Toc247334847"/>
      <w:bookmarkStart w:id="34" w:name="_Toc211911354"/>
      <w:bookmarkStart w:id="35" w:name="_Toc239233920"/>
      <w:bookmarkStart w:id="36" w:name="_Toc225654650"/>
      <w:bookmarkStart w:id="37" w:name="_Toc241833909"/>
      <w:bookmarkStart w:id="38" w:name="_Toc239568424"/>
      <w:bookmarkStart w:id="39" w:name="_Toc237145412"/>
      <w:r>
        <w:rPr>
          <w:rFonts w:hint="eastAsia"/>
          <w:b/>
          <w:sz w:val="24"/>
        </w:rPr>
        <w:t>第十</w:t>
      </w:r>
      <w:r>
        <w:rPr>
          <w:rFonts w:hint="eastAsia"/>
          <w:b/>
          <w:sz w:val="24"/>
          <w:lang w:eastAsia="zh-CN"/>
        </w:rPr>
        <w:t>二</w:t>
      </w:r>
      <w:r>
        <w:rPr>
          <w:rFonts w:hint="eastAsia"/>
          <w:b/>
          <w:sz w:val="24"/>
        </w:rPr>
        <w:t xml:space="preserve">条  </w:t>
      </w:r>
      <w:r>
        <w:rPr>
          <w:b/>
          <w:sz w:val="24"/>
        </w:rPr>
        <w:t>合同</w:t>
      </w:r>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r>
        <w:rPr>
          <w:b/>
          <w:sz w:val="24"/>
        </w:rPr>
        <w:t>生效及其他</w:t>
      </w:r>
    </w:p>
    <w:p w14:paraId="600E5752">
      <w:pPr>
        <w:keepNext w:val="0"/>
        <w:keepLines w:val="0"/>
        <w:pageBreakBefore w:val="0"/>
        <w:widowControl w:val="0"/>
        <w:kinsoku/>
        <w:wordWrap/>
        <w:overflowPunct/>
        <w:topLinePunct w:val="0"/>
        <w:autoSpaceDE/>
        <w:autoSpaceDN/>
        <w:bidi w:val="0"/>
        <w:snapToGrid/>
        <w:spacing w:line="509" w:lineRule="exact"/>
        <w:ind w:firstLine="420" w:firstLineChars="175"/>
        <w:rPr>
          <w:sz w:val="24"/>
        </w:rPr>
      </w:pPr>
      <w:r>
        <w:rPr>
          <w:rFonts w:hint="eastAsia"/>
          <w:sz w:val="24"/>
        </w:rPr>
        <w:t>1、合同经双方法定代表人或授权委托代理人签字并加盖单位公章后生效。</w:t>
      </w:r>
    </w:p>
    <w:p w14:paraId="01868BD9">
      <w:pPr>
        <w:keepNext w:val="0"/>
        <w:keepLines w:val="0"/>
        <w:pageBreakBefore w:val="0"/>
        <w:widowControl w:val="0"/>
        <w:kinsoku/>
        <w:wordWrap/>
        <w:overflowPunct/>
        <w:topLinePunct w:val="0"/>
        <w:autoSpaceDE/>
        <w:autoSpaceDN/>
        <w:bidi w:val="0"/>
        <w:snapToGrid/>
        <w:spacing w:line="509" w:lineRule="exact"/>
        <w:ind w:firstLine="420" w:firstLineChars="175"/>
        <w:rPr>
          <w:sz w:val="24"/>
        </w:rPr>
      </w:pPr>
      <w:r>
        <w:rPr>
          <w:rFonts w:hint="eastAsia"/>
          <w:sz w:val="24"/>
        </w:rPr>
        <w:t>2、合同执行中涉及采购资金和采购内容修改或补充的，由甲乙双方协商，并签订书面补充协议，方可作为主合同不可分割的一部分，与本合同具有同等法律效力。</w:t>
      </w:r>
    </w:p>
    <w:p w14:paraId="64BAE759">
      <w:pPr>
        <w:keepNext w:val="0"/>
        <w:keepLines w:val="0"/>
        <w:pageBreakBefore w:val="0"/>
        <w:widowControl w:val="0"/>
        <w:kinsoku/>
        <w:wordWrap/>
        <w:overflowPunct/>
        <w:topLinePunct w:val="0"/>
        <w:autoSpaceDE/>
        <w:autoSpaceDN/>
        <w:bidi w:val="0"/>
        <w:snapToGrid/>
        <w:spacing w:line="509" w:lineRule="exact"/>
        <w:ind w:firstLine="420" w:firstLineChars="175"/>
        <w:rPr>
          <w:sz w:val="24"/>
        </w:rPr>
      </w:pPr>
      <w:r>
        <w:rPr>
          <w:rFonts w:hint="eastAsia"/>
          <w:sz w:val="24"/>
        </w:rPr>
        <w:t>3、本合同一式肆份，自双方盖章之日起生效。甲方</w:t>
      </w:r>
      <w:r>
        <w:rPr>
          <w:rFonts w:hint="eastAsia"/>
          <w:sz w:val="24"/>
          <w:lang w:eastAsia="zh-CN"/>
        </w:rPr>
        <w:t>贰</w:t>
      </w:r>
      <w:r>
        <w:rPr>
          <w:rFonts w:hint="eastAsia"/>
          <w:sz w:val="24"/>
        </w:rPr>
        <w:t>份，乙方</w:t>
      </w:r>
      <w:r>
        <w:rPr>
          <w:rFonts w:hint="eastAsia"/>
          <w:sz w:val="24"/>
          <w:lang w:eastAsia="zh-CN"/>
        </w:rPr>
        <w:t>贰</w:t>
      </w:r>
      <w:r>
        <w:rPr>
          <w:rFonts w:hint="eastAsia"/>
          <w:sz w:val="24"/>
        </w:rPr>
        <w:t>份。</w:t>
      </w:r>
    </w:p>
    <w:p w14:paraId="79454D2F">
      <w:pPr>
        <w:keepNext w:val="0"/>
        <w:keepLines w:val="0"/>
        <w:pageBreakBefore w:val="0"/>
        <w:widowControl w:val="0"/>
        <w:kinsoku/>
        <w:wordWrap/>
        <w:overflowPunct/>
        <w:topLinePunct w:val="0"/>
        <w:autoSpaceDE/>
        <w:autoSpaceDN/>
        <w:bidi w:val="0"/>
        <w:snapToGrid/>
        <w:spacing w:line="509" w:lineRule="exact"/>
        <w:ind w:firstLine="420" w:firstLineChars="175"/>
        <w:rPr>
          <w:sz w:val="24"/>
        </w:rPr>
      </w:pPr>
      <w:r>
        <w:rPr>
          <w:rFonts w:hint="eastAsia"/>
          <w:sz w:val="24"/>
        </w:rPr>
        <w:t>4、采购文件、响应文件、</w:t>
      </w:r>
      <w:r>
        <w:rPr>
          <w:rFonts w:hint="eastAsia" w:hAnsi="宋体"/>
          <w:sz w:val="24"/>
        </w:rPr>
        <w:t>磋商中的最后报价、成交供应商承诺书、成交通知书</w:t>
      </w:r>
      <w:r>
        <w:rPr>
          <w:rFonts w:hint="eastAsia"/>
          <w:sz w:val="24"/>
        </w:rPr>
        <w:t>作为本合同的一部分，与本合同具有同等法律效力，与本合同不一致的，以本合同为准。</w:t>
      </w:r>
    </w:p>
    <w:p w14:paraId="5275C91F">
      <w:pPr>
        <w:keepNext w:val="0"/>
        <w:keepLines w:val="0"/>
        <w:pageBreakBefore w:val="0"/>
        <w:widowControl w:val="0"/>
        <w:kinsoku/>
        <w:wordWrap/>
        <w:overflowPunct/>
        <w:topLinePunct w:val="0"/>
        <w:autoSpaceDE/>
        <w:autoSpaceDN/>
        <w:bidi w:val="0"/>
        <w:snapToGrid/>
        <w:spacing w:line="509" w:lineRule="exact"/>
        <w:ind w:firstLine="420" w:firstLineChars="175"/>
        <w:rPr>
          <w:sz w:val="24"/>
        </w:rPr>
      </w:pPr>
      <w:r>
        <w:rPr>
          <w:rFonts w:hint="eastAsia"/>
          <w:sz w:val="24"/>
        </w:rPr>
        <w:t>5、双方确认本合同标明的地址为本合同履行过程以及争议解决中的文书送达地址。合同履行和仲裁、执行以及其他法律程序所涉及之相关法律文件，以邮件快递寄送本合同记载的对方当事人住址即为送达。如果前述住址发生变更，应当以书面通知对方及案件受理机构方为有效。任何一方均应积极履行通知和被通知义务，不得以拒绝签收、无人签收或变更地址未通知等理由否认送达效力。</w:t>
      </w:r>
    </w:p>
    <w:p w14:paraId="086393D3">
      <w:pPr>
        <w:keepNext w:val="0"/>
        <w:keepLines w:val="0"/>
        <w:pageBreakBefore w:val="0"/>
        <w:widowControl w:val="0"/>
        <w:kinsoku/>
        <w:wordWrap/>
        <w:overflowPunct/>
        <w:topLinePunct w:val="0"/>
        <w:autoSpaceDE/>
        <w:autoSpaceDN/>
        <w:bidi w:val="0"/>
        <w:snapToGrid/>
        <w:spacing w:line="509" w:lineRule="exact"/>
        <w:rPr>
          <w:sz w:val="24"/>
        </w:rPr>
      </w:pPr>
    </w:p>
    <w:p w14:paraId="37190714">
      <w:pPr>
        <w:keepNext w:val="0"/>
        <w:keepLines w:val="0"/>
        <w:pageBreakBefore w:val="0"/>
        <w:widowControl w:val="0"/>
        <w:kinsoku/>
        <w:wordWrap/>
        <w:overflowPunct/>
        <w:topLinePunct w:val="0"/>
        <w:autoSpaceDE/>
        <w:autoSpaceDN/>
        <w:bidi w:val="0"/>
        <w:snapToGrid/>
        <w:spacing w:line="509" w:lineRule="exact"/>
        <w:rPr>
          <w:sz w:val="24"/>
        </w:rPr>
      </w:pPr>
      <w:r>
        <w:rPr>
          <w:sz w:val="24"/>
        </w:rPr>
        <w:t>甲方：德阳高新发展有限公司（盖章）  乙方：</w:t>
      </w:r>
      <w:r>
        <w:rPr>
          <w:rFonts w:hint="eastAsia"/>
          <w:sz w:val="24"/>
        </w:rPr>
        <w:t xml:space="preserve">                      </w:t>
      </w:r>
      <w:r>
        <w:rPr>
          <w:sz w:val="24"/>
        </w:rPr>
        <w:t>（盖章）</w:t>
      </w:r>
    </w:p>
    <w:p w14:paraId="73B40E9E">
      <w:pPr>
        <w:keepNext w:val="0"/>
        <w:keepLines w:val="0"/>
        <w:pageBreakBefore w:val="0"/>
        <w:widowControl w:val="0"/>
        <w:kinsoku/>
        <w:wordWrap/>
        <w:overflowPunct/>
        <w:topLinePunct w:val="0"/>
        <w:autoSpaceDE/>
        <w:autoSpaceDN/>
        <w:bidi w:val="0"/>
        <w:snapToGrid/>
        <w:spacing w:line="509" w:lineRule="exact"/>
        <w:rPr>
          <w:sz w:val="24"/>
        </w:rPr>
      </w:pPr>
    </w:p>
    <w:p w14:paraId="3843DC3B">
      <w:pPr>
        <w:keepNext w:val="0"/>
        <w:keepLines w:val="0"/>
        <w:pageBreakBefore w:val="0"/>
        <w:widowControl w:val="0"/>
        <w:kinsoku/>
        <w:wordWrap/>
        <w:overflowPunct/>
        <w:topLinePunct w:val="0"/>
        <w:autoSpaceDE/>
        <w:autoSpaceDN/>
        <w:bidi w:val="0"/>
        <w:snapToGrid/>
        <w:spacing w:line="509" w:lineRule="exact"/>
        <w:rPr>
          <w:sz w:val="24"/>
        </w:rPr>
      </w:pPr>
      <w:r>
        <w:rPr>
          <w:sz w:val="24"/>
        </w:rPr>
        <w:t>法定代表人（授权代表）：             法定代表人（授权代表）：</w:t>
      </w:r>
    </w:p>
    <w:p w14:paraId="0F992255">
      <w:pPr>
        <w:keepNext w:val="0"/>
        <w:keepLines w:val="0"/>
        <w:pageBreakBefore w:val="0"/>
        <w:widowControl w:val="0"/>
        <w:kinsoku/>
        <w:wordWrap/>
        <w:overflowPunct/>
        <w:topLinePunct w:val="0"/>
        <w:autoSpaceDE/>
        <w:autoSpaceDN/>
        <w:bidi w:val="0"/>
        <w:snapToGrid/>
        <w:spacing w:line="509" w:lineRule="exact"/>
        <w:rPr>
          <w:sz w:val="24"/>
        </w:rPr>
      </w:pPr>
      <w:r>
        <w:rPr>
          <w:sz w:val="24"/>
        </w:rPr>
        <w:t xml:space="preserve">地    址：                          地    址： </w:t>
      </w:r>
    </w:p>
    <w:p w14:paraId="311FFCFB">
      <w:pPr>
        <w:keepNext w:val="0"/>
        <w:keepLines w:val="0"/>
        <w:pageBreakBefore w:val="0"/>
        <w:widowControl w:val="0"/>
        <w:kinsoku/>
        <w:wordWrap/>
        <w:overflowPunct/>
        <w:topLinePunct w:val="0"/>
        <w:autoSpaceDE/>
        <w:autoSpaceDN/>
        <w:bidi w:val="0"/>
        <w:snapToGrid/>
        <w:spacing w:line="509" w:lineRule="exact"/>
        <w:rPr>
          <w:sz w:val="24"/>
        </w:rPr>
      </w:pPr>
      <w:r>
        <w:rPr>
          <w:sz w:val="24"/>
        </w:rPr>
        <w:t>开户银行：                          开户银行：</w:t>
      </w:r>
    </w:p>
    <w:p w14:paraId="7F8F3C26">
      <w:pPr>
        <w:keepNext w:val="0"/>
        <w:keepLines w:val="0"/>
        <w:pageBreakBefore w:val="0"/>
        <w:widowControl w:val="0"/>
        <w:kinsoku/>
        <w:wordWrap/>
        <w:overflowPunct/>
        <w:topLinePunct w:val="0"/>
        <w:autoSpaceDE/>
        <w:autoSpaceDN/>
        <w:bidi w:val="0"/>
        <w:snapToGrid/>
        <w:spacing w:line="509" w:lineRule="exact"/>
        <w:rPr>
          <w:sz w:val="24"/>
        </w:rPr>
      </w:pPr>
      <w:r>
        <w:rPr>
          <w:sz w:val="24"/>
        </w:rPr>
        <w:t>账号：                              账号：</w:t>
      </w:r>
    </w:p>
    <w:p w14:paraId="46419FBD">
      <w:pPr>
        <w:keepNext w:val="0"/>
        <w:keepLines w:val="0"/>
        <w:pageBreakBefore w:val="0"/>
        <w:widowControl w:val="0"/>
        <w:kinsoku/>
        <w:wordWrap/>
        <w:overflowPunct/>
        <w:topLinePunct w:val="0"/>
        <w:autoSpaceDE/>
        <w:autoSpaceDN/>
        <w:bidi w:val="0"/>
        <w:snapToGrid/>
        <w:spacing w:line="509" w:lineRule="exact"/>
        <w:rPr>
          <w:sz w:val="24"/>
        </w:rPr>
      </w:pPr>
      <w:r>
        <w:rPr>
          <w:sz w:val="24"/>
        </w:rPr>
        <w:t>电    话：                          电    话：</w:t>
      </w:r>
    </w:p>
    <w:p w14:paraId="6FA5C5FF">
      <w:pPr>
        <w:keepNext w:val="0"/>
        <w:keepLines w:val="0"/>
        <w:pageBreakBefore w:val="0"/>
        <w:widowControl w:val="0"/>
        <w:kinsoku/>
        <w:wordWrap/>
        <w:overflowPunct/>
        <w:topLinePunct w:val="0"/>
        <w:autoSpaceDE/>
        <w:autoSpaceDN/>
        <w:bidi w:val="0"/>
        <w:snapToGrid/>
        <w:spacing w:line="509" w:lineRule="exact"/>
        <w:rPr>
          <w:sz w:val="24"/>
        </w:rPr>
      </w:pPr>
      <w:r>
        <w:rPr>
          <w:sz w:val="24"/>
        </w:rPr>
        <w:t>传    真：                          传    真：</w:t>
      </w:r>
    </w:p>
    <w:p w14:paraId="75D82729">
      <w:pPr>
        <w:keepNext w:val="0"/>
        <w:keepLines w:val="0"/>
        <w:pageBreakBefore w:val="0"/>
        <w:widowControl w:val="0"/>
        <w:kinsoku/>
        <w:wordWrap/>
        <w:overflowPunct/>
        <w:topLinePunct w:val="0"/>
        <w:autoSpaceDE/>
        <w:autoSpaceDN/>
        <w:bidi w:val="0"/>
        <w:snapToGrid/>
        <w:spacing w:line="509" w:lineRule="exact"/>
      </w:pPr>
      <w:r>
        <w:rPr>
          <w:sz w:val="24"/>
        </w:rPr>
        <w:t>签约日期：</w:t>
      </w:r>
      <w:r>
        <w:rPr>
          <w:szCs w:val="21"/>
        </w:rPr>
        <w:t xml:space="preserve">   </w:t>
      </w:r>
      <w:r>
        <w:rPr>
          <w:sz w:val="24"/>
        </w:rPr>
        <w:t>年</w:t>
      </w:r>
      <w:r>
        <w:rPr>
          <w:szCs w:val="21"/>
        </w:rPr>
        <w:t xml:space="preserve">   </w:t>
      </w:r>
      <w:r>
        <w:rPr>
          <w:sz w:val="24"/>
        </w:rPr>
        <w:t>月</w:t>
      </w:r>
      <w:r>
        <w:rPr>
          <w:szCs w:val="21"/>
        </w:rPr>
        <w:t xml:space="preserve">   </w:t>
      </w:r>
      <w:r>
        <w:rPr>
          <w:sz w:val="24"/>
        </w:rPr>
        <w:t xml:space="preserve">日 </w:t>
      </w:r>
      <w:r>
        <w:rPr>
          <w:sz w:val="24"/>
        </w:rPr>
        <w:tab/>
      </w:r>
      <w:r>
        <w:rPr>
          <w:sz w:val="24"/>
        </w:rPr>
        <w:t xml:space="preserve">        签约日期：</w:t>
      </w:r>
      <w:r>
        <w:rPr>
          <w:szCs w:val="21"/>
        </w:rPr>
        <w:t xml:space="preserve">   </w:t>
      </w:r>
      <w:r>
        <w:rPr>
          <w:sz w:val="24"/>
        </w:rPr>
        <w:t>年</w:t>
      </w:r>
      <w:r>
        <w:rPr>
          <w:szCs w:val="21"/>
        </w:rPr>
        <w:t xml:space="preserve">    </w:t>
      </w:r>
      <w:r>
        <w:rPr>
          <w:sz w:val="24"/>
        </w:rPr>
        <w:t>月</w:t>
      </w:r>
      <w:r>
        <w:rPr>
          <w:szCs w:val="21"/>
        </w:rPr>
        <w:t xml:space="preserve">   日</w:t>
      </w:r>
    </w:p>
    <w:sectPr>
      <w:footerReference r:id="rId3" w:type="default"/>
      <w:pgSz w:w="11850" w:h="16783"/>
      <w:pgMar w:top="1440" w:right="1701" w:bottom="1440" w:left="1746"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29250073"/>
      <w:docPartObj>
        <w:docPartGallery w:val="autotext"/>
      </w:docPartObj>
    </w:sdtPr>
    <w:sdtContent>
      <w:p w14:paraId="2421F513">
        <w:pPr>
          <w:pStyle w:val="12"/>
          <w:jc w:val="center"/>
        </w:pPr>
        <w:r>
          <w:fldChar w:fldCharType="begin"/>
        </w:r>
        <w:r>
          <w:instrText xml:space="preserve">PAGE   \* MERGEFORMAT</w:instrText>
        </w:r>
        <w:r>
          <w:fldChar w:fldCharType="separate"/>
        </w:r>
        <w:r>
          <w:rPr>
            <w:lang w:val="zh-CN"/>
          </w:rPr>
          <w:t>2</w:t>
        </w:r>
        <w:r>
          <w:fldChar w:fldCharType="end"/>
        </w:r>
      </w:p>
    </w:sdtContent>
  </w:sdt>
  <w:p w14:paraId="793FB2C5">
    <w:pPr>
      <w:pStyle w:val="12"/>
      <w:jc w:val="center"/>
      <w:rPr>
        <w:rFonts w:ascii="宋体" w:hAnsi="宋体"/>
        <w:sz w:val="28"/>
        <w:szCs w:val="28"/>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C611A6"/>
    <w:multiLevelType w:val="singleLevel"/>
    <w:tmpl w:val="E8C611A6"/>
    <w:lvl w:ilvl="0" w:tentative="0">
      <w:start w:val="1"/>
      <w:numFmt w:val="chineseCounting"/>
      <w:suff w:val="space"/>
      <w:lvlText w:val="第%1条"/>
      <w:lvlJc w:val="left"/>
      <w:rPr>
        <w:rFonts w:hint="eastAsia"/>
      </w:rPr>
    </w:lvl>
  </w:abstractNum>
  <w:abstractNum w:abstractNumId="1">
    <w:nsid w:val="1D9C2199"/>
    <w:multiLevelType w:val="multilevel"/>
    <w:tmpl w:val="1D9C2199"/>
    <w:lvl w:ilvl="0" w:tentative="0">
      <w:start w:val="1"/>
      <w:numFmt w:val="chineseCountingThousand"/>
      <w:suff w:val="nothing"/>
      <w:lvlText w:val="(%1)"/>
      <w:lvlJc w:val="left"/>
      <w:pPr>
        <w:ind w:left="420" w:hanging="420"/>
      </w:pPr>
      <w:rPr>
        <w:rFonts w:hint="eastAsia" w:cs="Times New Roman"/>
        <w:sz w:val="21"/>
        <w:szCs w:val="21"/>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8"/>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I0OGE5MTEyNTFlYzFkMGM2MTFkZDQ5MzE2YmQ1MDkifQ=="/>
  </w:docVars>
  <w:rsids>
    <w:rsidRoot w:val="24441BDA"/>
    <w:rsid w:val="0002303E"/>
    <w:rsid w:val="000249FB"/>
    <w:rsid w:val="000512A9"/>
    <w:rsid w:val="00054DAC"/>
    <w:rsid w:val="0005535A"/>
    <w:rsid w:val="000573CF"/>
    <w:rsid w:val="000709B9"/>
    <w:rsid w:val="00077685"/>
    <w:rsid w:val="000D0472"/>
    <w:rsid w:val="000D0B57"/>
    <w:rsid w:val="00123DC5"/>
    <w:rsid w:val="00145C8C"/>
    <w:rsid w:val="00156662"/>
    <w:rsid w:val="00165CD8"/>
    <w:rsid w:val="00196769"/>
    <w:rsid w:val="001F08B6"/>
    <w:rsid w:val="001F68BB"/>
    <w:rsid w:val="00202DF7"/>
    <w:rsid w:val="002359D3"/>
    <w:rsid w:val="0024215E"/>
    <w:rsid w:val="0025476F"/>
    <w:rsid w:val="00255357"/>
    <w:rsid w:val="002B06E6"/>
    <w:rsid w:val="002C2759"/>
    <w:rsid w:val="002C7212"/>
    <w:rsid w:val="002D79AC"/>
    <w:rsid w:val="002D7AD7"/>
    <w:rsid w:val="002E60EC"/>
    <w:rsid w:val="002F454E"/>
    <w:rsid w:val="00336618"/>
    <w:rsid w:val="00372911"/>
    <w:rsid w:val="003853F5"/>
    <w:rsid w:val="00391949"/>
    <w:rsid w:val="003B6312"/>
    <w:rsid w:val="003B6E6D"/>
    <w:rsid w:val="003D649C"/>
    <w:rsid w:val="003E4EF3"/>
    <w:rsid w:val="003E69E5"/>
    <w:rsid w:val="003F330F"/>
    <w:rsid w:val="003F6F65"/>
    <w:rsid w:val="00411E60"/>
    <w:rsid w:val="00421CEF"/>
    <w:rsid w:val="00424568"/>
    <w:rsid w:val="00455D38"/>
    <w:rsid w:val="0046730D"/>
    <w:rsid w:val="00470FF6"/>
    <w:rsid w:val="00484851"/>
    <w:rsid w:val="0049685A"/>
    <w:rsid w:val="004972B4"/>
    <w:rsid w:val="004B13FA"/>
    <w:rsid w:val="00511BDB"/>
    <w:rsid w:val="00517B29"/>
    <w:rsid w:val="00534AB4"/>
    <w:rsid w:val="00552E9A"/>
    <w:rsid w:val="0056078B"/>
    <w:rsid w:val="00563D2E"/>
    <w:rsid w:val="00577E50"/>
    <w:rsid w:val="0058707A"/>
    <w:rsid w:val="005A00C2"/>
    <w:rsid w:val="005A7757"/>
    <w:rsid w:val="005D6943"/>
    <w:rsid w:val="005E4DF9"/>
    <w:rsid w:val="006021B3"/>
    <w:rsid w:val="00640689"/>
    <w:rsid w:val="006412D1"/>
    <w:rsid w:val="00647431"/>
    <w:rsid w:val="00672878"/>
    <w:rsid w:val="00690285"/>
    <w:rsid w:val="006958AA"/>
    <w:rsid w:val="00696D23"/>
    <w:rsid w:val="006D0348"/>
    <w:rsid w:val="006E4460"/>
    <w:rsid w:val="006E4ABB"/>
    <w:rsid w:val="006F278B"/>
    <w:rsid w:val="006F6199"/>
    <w:rsid w:val="00706AD0"/>
    <w:rsid w:val="00714C79"/>
    <w:rsid w:val="0071527E"/>
    <w:rsid w:val="007268B8"/>
    <w:rsid w:val="007346F3"/>
    <w:rsid w:val="00775157"/>
    <w:rsid w:val="007C4260"/>
    <w:rsid w:val="007F3AF5"/>
    <w:rsid w:val="007F535F"/>
    <w:rsid w:val="00807181"/>
    <w:rsid w:val="00824E1A"/>
    <w:rsid w:val="0083007D"/>
    <w:rsid w:val="008434DF"/>
    <w:rsid w:val="0085561D"/>
    <w:rsid w:val="0086145E"/>
    <w:rsid w:val="008836C1"/>
    <w:rsid w:val="0088783E"/>
    <w:rsid w:val="008A51DB"/>
    <w:rsid w:val="008A53F2"/>
    <w:rsid w:val="008F168D"/>
    <w:rsid w:val="00912A92"/>
    <w:rsid w:val="00927936"/>
    <w:rsid w:val="0093239C"/>
    <w:rsid w:val="00951996"/>
    <w:rsid w:val="009629D8"/>
    <w:rsid w:val="00981893"/>
    <w:rsid w:val="00982F66"/>
    <w:rsid w:val="00995D33"/>
    <w:rsid w:val="00997311"/>
    <w:rsid w:val="009D1025"/>
    <w:rsid w:val="009D71C4"/>
    <w:rsid w:val="009E5219"/>
    <w:rsid w:val="009E742C"/>
    <w:rsid w:val="009F77D4"/>
    <w:rsid w:val="00A26E53"/>
    <w:rsid w:val="00A41798"/>
    <w:rsid w:val="00A909F5"/>
    <w:rsid w:val="00AA1FDF"/>
    <w:rsid w:val="00AA5A4E"/>
    <w:rsid w:val="00AD13E4"/>
    <w:rsid w:val="00AE5B58"/>
    <w:rsid w:val="00B214C2"/>
    <w:rsid w:val="00B45589"/>
    <w:rsid w:val="00B77EEF"/>
    <w:rsid w:val="00BE413A"/>
    <w:rsid w:val="00C07B6E"/>
    <w:rsid w:val="00C2660D"/>
    <w:rsid w:val="00C43D3D"/>
    <w:rsid w:val="00C51A38"/>
    <w:rsid w:val="00C67240"/>
    <w:rsid w:val="00C80A51"/>
    <w:rsid w:val="00C92125"/>
    <w:rsid w:val="00C9732D"/>
    <w:rsid w:val="00CE7334"/>
    <w:rsid w:val="00D00D4F"/>
    <w:rsid w:val="00D03259"/>
    <w:rsid w:val="00D26FF5"/>
    <w:rsid w:val="00D40F32"/>
    <w:rsid w:val="00D47952"/>
    <w:rsid w:val="00D60DC7"/>
    <w:rsid w:val="00D80427"/>
    <w:rsid w:val="00DA1BD4"/>
    <w:rsid w:val="00DB13CD"/>
    <w:rsid w:val="00E00F20"/>
    <w:rsid w:val="00E63A3D"/>
    <w:rsid w:val="00E705CB"/>
    <w:rsid w:val="00E85B59"/>
    <w:rsid w:val="00EA4140"/>
    <w:rsid w:val="00EA6537"/>
    <w:rsid w:val="00ED51E0"/>
    <w:rsid w:val="00ED615E"/>
    <w:rsid w:val="00F00B35"/>
    <w:rsid w:val="00F33345"/>
    <w:rsid w:val="00F63E43"/>
    <w:rsid w:val="00F67EFC"/>
    <w:rsid w:val="00F7468E"/>
    <w:rsid w:val="00F9205F"/>
    <w:rsid w:val="00FC62DF"/>
    <w:rsid w:val="00FF6729"/>
    <w:rsid w:val="014E4AD3"/>
    <w:rsid w:val="0153782A"/>
    <w:rsid w:val="01D64CFB"/>
    <w:rsid w:val="021D31CB"/>
    <w:rsid w:val="05735457"/>
    <w:rsid w:val="063271F4"/>
    <w:rsid w:val="06A86273"/>
    <w:rsid w:val="075F4844"/>
    <w:rsid w:val="07707E81"/>
    <w:rsid w:val="07AA18FE"/>
    <w:rsid w:val="08BD32D7"/>
    <w:rsid w:val="09743E78"/>
    <w:rsid w:val="09915EC8"/>
    <w:rsid w:val="0B77310D"/>
    <w:rsid w:val="0BAB102E"/>
    <w:rsid w:val="0C2A542A"/>
    <w:rsid w:val="0D2E01F1"/>
    <w:rsid w:val="0E4A45B3"/>
    <w:rsid w:val="16EF0741"/>
    <w:rsid w:val="19697BDC"/>
    <w:rsid w:val="19DE2475"/>
    <w:rsid w:val="1BC72513"/>
    <w:rsid w:val="1BFA0E84"/>
    <w:rsid w:val="1C3C5578"/>
    <w:rsid w:val="1D690646"/>
    <w:rsid w:val="1EF633F1"/>
    <w:rsid w:val="231A1604"/>
    <w:rsid w:val="24441BDA"/>
    <w:rsid w:val="24657076"/>
    <w:rsid w:val="28F77C30"/>
    <w:rsid w:val="29A273A6"/>
    <w:rsid w:val="2A5D69C6"/>
    <w:rsid w:val="2CE92247"/>
    <w:rsid w:val="2D214EE9"/>
    <w:rsid w:val="2D883DDB"/>
    <w:rsid w:val="2DDC565E"/>
    <w:rsid w:val="2E33765B"/>
    <w:rsid w:val="30792419"/>
    <w:rsid w:val="3163515E"/>
    <w:rsid w:val="33BA15B3"/>
    <w:rsid w:val="342C363E"/>
    <w:rsid w:val="362568E0"/>
    <w:rsid w:val="36D46967"/>
    <w:rsid w:val="388A1BAC"/>
    <w:rsid w:val="3A744559"/>
    <w:rsid w:val="3BDD6175"/>
    <w:rsid w:val="40792F20"/>
    <w:rsid w:val="41594397"/>
    <w:rsid w:val="41C9151C"/>
    <w:rsid w:val="41E87AF9"/>
    <w:rsid w:val="439F2A9A"/>
    <w:rsid w:val="44E035AB"/>
    <w:rsid w:val="45311684"/>
    <w:rsid w:val="48377781"/>
    <w:rsid w:val="4B6C161B"/>
    <w:rsid w:val="4CAF2E1E"/>
    <w:rsid w:val="4E044A8C"/>
    <w:rsid w:val="4E046C11"/>
    <w:rsid w:val="4E77395A"/>
    <w:rsid w:val="51AA166F"/>
    <w:rsid w:val="53937294"/>
    <w:rsid w:val="53E857F3"/>
    <w:rsid w:val="55A8415A"/>
    <w:rsid w:val="58C3038F"/>
    <w:rsid w:val="5D571D18"/>
    <w:rsid w:val="5FEB0458"/>
    <w:rsid w:val="61493688"/>
    <w:rsid w:val="620F2715"/>
    <w:rsid w:val="625B2CF7"/>
    <w:rsid w:val="625D7CF3"/>
    <w:rsid w:val="63BA055D"/>
    <w:rsid w:val="65282384"/>
    <w:rsid w:val="66442670"/>
    <w:rsid w:val="66A6408E"/>
    <w:rsid w:val="6CF0584B"/>
    <w:rsid w:val="6CF36B7C"/>
    <w:rsid w:val="6E4D0837"/>
    <w:rsid w:val="72010B6F"/>
    <w:rsid w:val="732D5616"/>
    <w:rsid w:val="753B0E99"/>
    <w:rsid w:val="758D071A"/>
    <w:rsid w:val="7AC03A43"/>
    <w:rsid w:val="7B552A39"/>
    <w:rsid w:val="7C0861C2"/>
    <w:rsid w:val="7CFB4D90"/>
    <w:rsid w:val="7DD25002"/>
    <w:rsid w:val="7E283A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qFormat="1"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3">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4">
    <w:name w:val="Normal Indent"/>
    <w:basedOn w:val="1"/>
    <w:link w:val="30"/>
    <w:qFormat/>
    <w:uiPriority w:val="0"/>
    <w:pPr>
      <w:ind w:firstLine="420" w:firstLineChars="200"/>
    </w:pPr>
  </w:style>
  <w:style w:type="paragraph" w:styleId="5">
    <w:name w:val="annotation text"/>
    <w:basedOn w:val="1"/>
    <w:qFormat/>
    <w:uiPriority w:val="0"/>
    <w:pPr>
      <w:jc w:val="left"/>
    </w:pPr>
  </w:style>
  <w:style w:type="paragraph" w:styleId="6">
    <w:name w:val="Closing"/>
    <w:basedOn w:val="1"/>
    <w:qFormat/>
    <w:uiPriority w:val="0"/>
    <w:pPr>
      <w:ind w:left="100" w:leftChars="2100"/>
    </w:pPr>
  </w:style>
  <w:style w:type="paragraph" w:styleId="7">
    <w:name w:val="Body Text"/>
    <w:basedOn w:val="1"/>
    <w:next w:val="1"/>
    <w:link w:val="29"/>
    <w:qFormat/>
    <w:uiPriority w:val="99"/>
    <w:pPr>
      <w:spacing w:after="120"/>
    </w:pPr>
  </w:style>
  <w:style w:type="paragraph" w:styleId="8">
    <w:name w:val="Body Text Indent"/>
    <w:basedOn w:val="1"/>
    <w:qFormat/>
    <w:uiPriority w:val="0"/>
    <w:pPr>
      <w:ind w:firstLine="630"/>
    </w:pPr>
    <w:rPr>
      <w:sz w:val="32"/>
      <w:szCs w:val="20"/>
    </w:rPr>
  </w:style>
  <w:style w:type="paragraph" w:styleId="9">
    <w:name w:val="toc 3"/>
    <w:basedOn w:val="1"/>
    <w:next w:val="1"/>
    <w:qFormat/>
    <w:uiPriority w:val="39"/>
    <w:pPr>
      <w:ind w:left="840" w:leftChars="400"/>
    </w:pPr>
  </w:style>
  <w:style w:type="paragraph" w:styleId="10">
    <w:name w:val="Body Text Indent 2"/>
    <w:basedOn w:val="1"/>
    <w:qFormat/>
    <w:uiPriority w:val="0"/>
    <w:pPr>
      <w:spacing w:after="120" w:line="480" w:lineRule="auto"/>
      <w:ind w:left="420" w:leftChars="200"/>
    </w:pPr>
  </w:style>
  <w:style w:type="paragraph" w:styleId="11">
    <w:name w:val="Balloon Text"/>
    <w:basedOn w:val="1"/>
    <w:link w:val="27"/>
    <w:qFormat/>
    <w:uiPriority w:val="0"/>
    <w:rPr>
      <w:sz w:val="18"/>
      <w:szCs w:val="18"/>
    </w:rPr>
  </w:style>
  <w:style w:type="paragraph" w:styleId="12">
    <w:name w:val="footer"/>
    <w:basedOn w:val="1"/>
    <w:link w:val="28"/>
    <w:qFormat/>
    <w:uiPriority w:val="99"/>
    <w:pPr>
      <w:tabs>
        <w:tab w:val="center" w:pos="4153"/>
        <w:tab w:val="right" w:pos="8306"/>
      </w:tabs>
      <w:snapToGrid w:val="0"/>
      <w:jc w:val="left"/>
    </w:pPr>
    <w:rPr>
      <w:sz w:val="18"/>
      <w:szCs w:val="20"/>
    </w:rPr>
  </w:style>
  <w:style w:type="paragraph" w:styleId="13">
    <w:name w:val="header"/>
    <w:basedOn w:val="1"/>
    <w:link w:val="24"/>
    <w:qFormat/>
    <w:uiPriority w:val="0"/>
    <w:pPr>
      <w:pBdr>
        <w:bottom w:val="single" w:color="auto" w:sz="6" w:space="1"/>
      </w:pBdr>
      <w:tabs>
        <w:tab w:val="center" w:pos="4153"/>
        <w:tab w:val="right" w:pos="8306"/>
      </w:tabs>
      <w:snapToGrid w:val="0"/>
      <w:jc w:val="center"/>
    </w:pPr>
    <w:rPr>
      <w:sz w:val="18"/>
      <w:szCs w:val="18"/>
    </w:rPr>
  </w:style>
  <w:style w:type="paragraph" w:styleId="14">
    <w:name w:val="Subtitle"/>
    <w:basedOn w:val="1"/>
    <w:next w:val="1"/>
    <w:qFormat/>
    <w:uiPriority w:val="0"/>
    <w:pPr>
      <w:widowControl/>
      <w:adjustRightInd w:val="0"/>
      <w:snapToGrid w:val="0"/>
      <w:spacing w:before="240" w:after="60" w:line="312" w:lineRule="auto"/>
      <w:jc w:val="center"/>
      <w:outlineLvl w:val="1"/>
    </w:pPr>
    <w:rPr>
      <w:b/>
      <w:bCs/>
      <w:kern w:val="28"/>
      <w:sz w:val="32"/>
      <w:szCs w:val="32"/>
    </w:rPr>
  </w:style>
  <w:style w:type="paragraph" w:styleId="15">
    <w:name w:val="toc 2"/>
    <w:basedOn w:val="1"/>
    <w:next w:val="1"/>
    <w:qFormat/>
    <w:uiPriority w:val="39"/>
    <w:pPr>
      <w:ind w:left="420" w:leftChars="200"/>
    </w:pPr>
  </w:style>
  <w:style w:type="paragraph" w:styleId="16">
    <w:name w:val="Normal (Web)"/>
    <w:basedOn w:val="1"/>
    <w:qFormat/>
    <w:uiPriority w:val="0"/>
    <w:pPr>
      <w:widowControl/>
      <w:spacing w:before="100" w:beforeAutospacing="1" w:after="100" w:afterAutospacing="1"/>
      <w:jc w:val="left"/>
    </w:pPr>
    <w:rPr>
      <w:rFonts w:ascii="宋体" w:hAnsi="宋体"/>
      <w:kern w:val="0"/>
      <w:sz w:val="18"/>
      <w:szCs w:val="18"/>
    </w:rPr>
  </w:style>
  <w:style w:type="table" w:styleId="18">
    <w:name w:val="Table Grid"/>
    <w:basedOn w:val="1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Hyperlink"/>
    <w:qFormat/>
    <w:uiPriority w:val="99"/>
    <w:rPr>
      <w:color w:val="0000FF"/>
      <w:u w:val="single"/>
    </w:rPr>
  </w:style>
  <w:style w:type="paragraph" w:customStyle="1" w:styleId="21">
    <w:name w:val="正文首行缩进两字符"/>
    <w:basedOn w:val="1"/>
    <w:qFormat/>
    <w:uiPriority w:val="0"/>
    <w:pPr>
      <w:spacing w:line="360" w:lineRule="auto"/>
      <w:ind w:firstLine="200" w:firstLineChars="200"/>
    </w:pPr>
  </w:style>
  <w:style w:type="paragraph" w:customStyle="1" w:styleId="22">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23">
    <w:name w:val="正文1"/>
    <w:qFormat/>
    <w:uiPriority w:val="0"/>
    <w:pPr>
      <w:widowControl w:val="0"/>
      <w:adjustRightInd w:val="0"/>
      <w:spacing w:line="312" w:lineRule="atLeast"/>
      <w:jc w:val="both"/>
      <w:textAlignment w:val="baseline"/>
    </w:pPr>
    <w:rPr>
      <w:rFonts w:ascii="宋体" w:hAnsi="Calibri" w:eastAsia="宋体" w:cs="Times New Roman"/>
      <w:sz w:val="34"/>
      <w:lang w:val="en-US" w:eastAsia="zh-CN" w:bidi="ar-SA"/>
    </w:rPr>
  </w:style>
  <w:style w:type="character" w:customStyle="1" w:styleId="24">
    <w:name w:val="页眉 字符"/>
    <w:basedOn w:val="19"/>
    <w:link w:val="13"/>
    <w:qFormat/>
    <w:uiPriority w:val="0"/>
    <w:rPr>
      <w:rFonts w:ascii="Calibri" w:hAnsi="Calibri" w:eastAsia="宋体" w:cs="Times New Roman"/>
      <w:kern w:val="2"/>
      <w:sz w:val="18"/>
      <w:szCs w:val="18"/>
    </w:rPr>
  </w:style>
  <w:style w:type="paragraph" w:customStyle="1" w:styleId="25">
    <w:name w:val="Normal_0"/>
    <w:qFormat/>
    <w:uiPriority w:val="0"/>
    <w:rPr>
      <w:rFonts w:ascii="Times New Roman" w:hAnsi="Times New Roman" w:eastAsia="Times New Roman" w:cs="Times New Roman"/>
      <w:sz w:val="24"/>
      <w:szCs w:val="24"/>
      <w:lang w:val="en-US" w:eastAsia="zh-CN" w:bidi="ar-SA"/>
    </w:rPr>
  </w:style>
  <w:style w:type="paragraph" w:customStyle="1" w:styleId="26">
    <w:name w:val="样式 首行缩进:  2 字符"/>
    <w:basedOn w:val="1"/>
    <w:qFormat/>
    <w:uiPriority w:val="0"/>
    <w:pPr>
      <w:spacing w:line="400" w:lineRule="exact"/>
      <w:ind w:firstLine="200" w:firstLineChars="200"/>
    </w:pPr>
    <w:rPr>
      <w:rFonts w:cs="宋体"/>
      <w:sz w:val="24"/>
    </w:rPr>
  </w:style>
  <w:style w:type="character" w:customStyle="1" w:styleId="27">
    <w:name w:val="批注框文本 字符"/>
    <w:basedOn w:val="19"/>
    <w:link w:val="11"/>
    <w:qFormat/>
    <w:uiPriority w:val="0"/>
    <w:rPr>
      <w:rFonts w:ascii="Calibri" w:hAnsi="Calibri"/>
      <w:kern w:val="2"/>
      <w:sz w:val="18"/>
      <w:szCs w:val="18"/>
    </w:rPr>
  </w:style>
  <w:style w:type="character" w:customStyle="1" w:styleId="28">
    <w:name w:val="页脚 字符"/>
    <w:basedOn w:val="19"/>
    <w:link w:val="12"/>
    <w:qFormat/>
    <w:uiPriority w:val="99"/>
    <w:rPr>
      <w:rFonts w:ascii="Calibri" w:hAnsi="Calibri"/>
      <w:kern w:val="2"/>
      <w:sz w:val="18"/>
    </w:rPr>
  </w:style>
  <w:style w:type="character" w:customStyle="1" w:styleId="29">
    <w:name w:val="正文文本 字符"/>
    <w:basedOn w:val="19"/>
    <w:link w:val="7"/>
    <w:qFormat/>
    <w:uiPriority w:val="99"/>
    <w:rPr>
      <w:rFonts w:ascii="Calibri" w:hAnsi="Calibri"/>
      <w:kern w:val="2"/>
      <w:sz w:val="21"/>
      <w:szCs w:val="24"/>
    </w:rPr>
  </w:style>
  <w:style w:type="character" w:customStyle="1" w:styleId="30">
    <w:name w:val="正文缩进 字符"/>
    <w:link w:val="4"/>
    <w:qFormat/>
    <w:uiPriority w:val="0"/>
    <w:rPr>
      <w:rFonts w:ascii="Calibri" w:hAnsi="Calibri"/>
      <w:kern w:val="2"/>
      <w:sz w:val="21"/>
      <w:szCs w:val="24"/>
    </w:rPr>
  </w:style>
  <w:style w:type="paragraph" w:styleId="31">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EFD502-827E-45C2-BE67-1E9B0F95A9C9}">
  <ds:schemaRefs/>
</ds:datastoreItem>
</file>

<file path=docProps/app.xml><?xml version="1.0" encoding="utf-8"?>
<Properties xmlns="http://schemas.openxmlformats.org/officeDocument/2006/extended-properties" xmlns:vt="http://schemas.openxmlformats.org/officeDocument/2006/docPropsVTypes">
  <Template>Normal</Template>
  <Pages>5</Pages>
  <Words>2900</Words>
  <Characters>2915</Characters>
  <Lines>209</Lines>
  <Paragraphs>58</Paragraphs>
  <TotalTime>13</TotalTime>
  <ScaleCrop>false</ScaleCrop>
  <LinksUpToDate>false</LinksUpToDate>
  <CharactersWithSpaces>3497</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2021-05-10T01:39:00Z</dcterms:created>
  <dc:creator>only time</dc:creator>
  <cp:lastModifiedBy>凸^-^凸</cp:lastModifiedBy>
  <cp:lastPrinted>2024-10-15T09:03:33Z</cp:lastPrinted>
  <dcterms:modified xsi:type="dcterms:W3CDTF">2024-10-15T09:10:26Z</dcterms:modified>
  <cp:revision>111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6FC1F38D940C43B89F301F0E780F733D_13</vt:lpwstr>
  </property>
  <property fmtid="{D5CDD505-2E9C-101B-9397-08002B2CF9AE}" pid="4" name="commondata">
    <vt:lpwstr>eyJoZGlkIjoiMDJjZjkzMjgwNjg3MzI0MGMxNWQyODAyNWU1N2Y2YTMifQ==</vt:lpwstr>
  </property>
</Properties>
</file>