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A9EA0">
      <w:pPr>
        <w:tabs>
          <w:tab w:val="left" w:pos="1260"/>
          <w:tab w:val="left" w:pos="7140"/>
        </w:tabs>
        <w:spacing w:line="560" w:lineRule="exact"/>
        <w:jc w:val="center"/>
        <w:rPr>
          <w:rFonts w:eastAsia="华康简标题宋"/>
          <w:b/>
          <w:bCs/>
          <w:spacing w:val="20"/>
          <w:sz w:val="52"/>
        </w:rPr>
      </w:pPr>
    </w:p>
    <w:p w14:paraId="31A90853">
      <w:pPr>
        <w:tabs>
          <w:tab w:val="left" w:pos="1260"/>
          <w:tab w:val="left" w:pos="7140"/>
        </w:tabs>
        <w:spacing w:line="560" w:lineRule="exact"/>
        <w:jc w:val="center"/>
        <w:rPr>
          <w:rFonts w:eastAsia="华康简标题宋"/>
          <w:b/>
          <w:bCs/>
          <w:spacing w:val="20"/>
          <w:sz w:val="52"/>
        </w:rPr>
      </w:pPr>
      <w:r>
        <w:rPr>
          <w:rFonts w:hint="eastAsia" w:eastAsia="华康简标题宋"/>
          <w:b/>
          <w:bCs/>
          <w:spacing w:val="20"/>
          <w:sz w:val="52"/>
        </w:rPr>
        <w:t>行洪论证技术服务合同</w:t>
      </w:r>
    </w:p>
    <w:p w14:paraId="266DF721">
      <w:pPr>
        <w:tabs>
          <w:tab w:val="left" w:pos="1785"/>
          <w:tab w:val="left" w:pos="2688"/>
        </w:tabs>
        <w:spacing w:line="560" w:lineRule="exact"/>
        <w:ind w:firstLine="809" w:firstLineChars="289"/>
        <w:rPr>
          <w:rFonts w:ascii="Arial" w:hAnsi="Arial" w:eastAsia="汉鼎简黑变"/>
          <w:sz w:val="28"/>
        </w:rPr>
      </w:pPr>
    </w:p>
    <w:p w14:paraId="6C04AE48">
      <w:pPr>
        <w:tabs>
          <w:tab w:val="left" w:pos="1785"/>
          <w:tab w:val="left" w:pos="2688"/>
        </w:tabs>
        <w:spacing w:line="560" w:lineRule="exact"/>
        <w:ind w:firstLine="809" w:firstLineChars="289"/>
        <w:rPr>
          <w:rFonts w:ascii="Arial" w:hAnsi="Arial" w:eastAsia="汉鼎简黑变"/>
          <w:sz w:val="28"/>
        </w:rPr>
      </w:pPr>
    </w:p>
    <w:p w14:paraId="2241673E">
      <w:pPr>
        <w:tabs>
          <w:tab w:val="left" w:pos="1785"/>
          <w:tab w:val="left" w:pos="2688"/>
        </w:tabs>
        <w:spacing w:line="560" w:lineRule="exact"/>
        <w:ind w:firstLine="809" w:firstLineChars="289"/>
        <w:rPr>
          <w:rFonts w:ascii="Arial" w:hAnsi="Arial" w:eastAsia="汉鼎简黑变"/>
          <w:sz w:val="28"/>
        </w:rPr>
      </w:pPr>
    </w:p>
    <w:p w14:paraId="74F07332">
      <w:pPr>
        <w:pStyle w:val="3"/>
      </w:pPr>
    </w:p>
    <w:p w14:paraId="5859738D">
      <w:pPr>
        <w:tabs>
          <w:tab w:val="left" w:pos="1785"/>
          <w:tab w:val="left" w:pos="2688"/>
        </w:tabs>
        <w:spacing w:line="560" w:lineRule="exact"/>
        <w:ind w:firstLine="809" w:firstLineChars="289"/>
        <w:rPr>
          <w:rFonts w:ascii="Arial" w:hAnsi="Arial" w:eastAsia="汉鼎简黑变"/>
          <w:sz w:val="28"/>
        </w:rPr>
      </w:pPr>
    </w:p>
    <w:p w14:paraId="2EDB534D">
      <w:pPr>
        <w:numPr>
          <w:ilvl w:val="0"/>
          <w:numId w:val="0"/>
        </w:numPr>
        <w:spacing w:line="560" w:lineRule="exact"/>
        <w:ind w:left="2739" w:leftChars="444" w:hanging="1807" w:hangingChars="600"/>
        <w:jc w:val="left"/>
        <w:rPr>
          <w:rFonts w:hint="default" w:ascii="Arial" w:hAnsi="Arial" w:eastAsia="汉鼎简黑变"/>
          <w:b/>
          <w:sz w:val="28"/>
          <w:u w:val="single"/>
          <w:lang w:val="en-US"/>
        </w:rPr>
      </w:pPr>
      <w:r>
        <w:rPr>
          <w:rFonts w:hint="eastAsia" w:ascii="Arial" w:hAnsi="Arial" w:eastAsia="汉鼎简特宋"/>
          <w:b/>
          <w:spacing w:val="10"/>
          <w:sz w:val="28"/>
        </w:rPr>
        <w:t>工</w:t>
      </w:r>
      <w:r>
        <w:rPr>
          <w:rFonts w:ascii="Arial" w:hAnsi="Arial" w:eastAsia="汉鼎简特宋"/>
          <w:b/>
          <w:spacing w:val="10"/>
          <w:sz w:val="28"/>
        </w:rPr>
        <w:t xml:space="preserve"> </w:t>
      </w:r>
      <w:r>
        <w:rPr>
          <w:rFonts w:hint="eastAsia" w:ascii="Arial" w:hAnsi="Arial" w:eastAsia="汉鼎简特宋"/>
          <w:b/>
          <w:spacing w:val="10"/>
          <w:sz w:val="28"/>
        </w:rPr>
        <w:t>程</w:t>
      </w:r>
      <w:r>
        <w:rPr>
          <w:rFonts w:ascii="Arial" w:hAnsi="Arial" w:eastAsia="汉鼎简特宋"/>
          <w:b/>
          <w:spacing w:val="10"/>
          <w:sz w:val="28"/>
        </w:rPr>
        <w:t xml:space="preserve"> </w:t>
      </w:r>
      <w:r>
        <w:rPr>
          <w:rFonts w:hint="eastAsia" w:ascii="Arial" w:hAnsi="Arial" w:eastAsia="汉鼎简特宋"/>
          <w:b/>
          <w:spacing w:val="10"/>
          <w:sz w:val="28"/>
        </w:rPr>
        <w:t>名</w:t>
      </w:r>
      <w:r>
        <w:rPr>
          <w:rFonts w:ascii="Arial" w:hAnsi="Arial" w:eastAsia="汉鼎简特宋"/>
          <w:b/>
          <w:spacing w:val="10"/>
          <w:sz w:val="28"/>
        </w:rPr>
        <w:t xml:space="preserve"> </w:t>
      </w:r>
      <w:r>
        <w:rPr>
          <w:rFonts w:hint="eastAsia" w:ascii="Arial" w:hAnsi="Arial" w:eastAsia="汉鼎简特宋"/>
          <w:b/>
          <w:spacing w:val="10"/>
          <w:sz w:val="28"/>
        </w:rPr>
        <w:t>称：</w:t>
      </w:r>
      <w:r>
        <w:rPr>
          <w:rFonts w:hint="eastAsia" w:ascii="Arial" w:hAnsi="Arial" w:eastAsia="汉鼎简黑变"/>
          <w:b/>
          <w:sz w:val="28"/>
          <w:u w:val="single"/>
          <w:lang w:val="en-US" w:eastAsia="zh-CN"/>
        </w:rPr>
        <w:t>德阳高新区汽车产业园配套提升基础设施建设项目-万福配套一号道路及德阳高新区汽车产业园（新能源）基础设施建设项目-万胜一街（一标段）及万胜一街延伸段工程项目</w:t>
      </w:r>
    </w:p>
    <w:p w14:paraId="04C0135E">
      <w:pPr>
        <w:tabs>
          <w:tab w:val="left" w:pos="1862"/>
          <w:tab w:val="left" w:pos="7560"/>
        </w:tabs>
        <w:spacing w:line="560" w:lineRule="exact"/>
        <w:ind w:firstLine="855" w:firstLineChars="284"/>
        <w:rPr>
          <w:rFonts w:ascii="Arial" w:hAnsi="Arial" w:eastAsia="汉鼎简黑变"/>
          <w:sz w:val="28"/>
          <w:u w:val="single"/>
        </w:rPr>
      </w:pPr>
      <w:r>
        <w:rPr>
          <w:rFonts w:hint="eastAsia" w:ascii="Arial" w:hAnsi="Arial" w:eastAsia="汉鼎简特宋"/>
          <w:b/>
          <w:spacing w:val="10"/>
          <w:sz w:val="28"/>
        </w:rPr>
        <w:t>合</w:t>
      </w:r>
      <w:r>
        <w:rPr>
          <w:rFonts w:ascii="Arial" w:hAnsi="Arial" w:eastAsia="汉鼎简特宋"/>
          <w:b/>
          <w:spacing w:val="10"/>
          <w:sz w:val="28"/>
        </w:rPr>
        <w:t xml:space="preserve"> </w:t>
      </w:r>
      <w:r>
        <w:rPr>
          <w:rFonts w:hint="eastAsia" w:ascii="Arial" w:hAnsi="Arial" w:eastAsia="汉鼎简特宋"/>
          <w:b/>
          <w:spacing w:val="10"/>
          <w:sz w:val="28"/>
        </w:rPr>
        <w:t>同</w:t>
      </w:r>
      <w:r>
        <w:rPr>
          <w:rFonts w:ascii="Arial" w:hAnsi="Arial" w:eastAsia="汉鼎简特宋"/>
          <w:b/>
          <w:spacing w:val="10"/>
          <w:sz w:val="28"/>
        </w:rPr>
        <w:t xml:space="preserve"> </w:t>
      </w:r>
      <w:r>
        <w:rPr>
          <w:rFonts w:hint="eastAsia" w:ascii="Arial" w:hAnsi="Arial" w:eastAsia="汉鼎简特宋"/>
          <w:b/>
          <w:spacing w:val="10"/>
          <w:sz w:val="28"/>
        </w:rPr>
        <w:t>编</w:t>
      </w:r>
      <w:r>
        <w:rPr>
          <w:rFonts w:ascii="Arial" w:hAnsi="Arial" w:eastAsia="汉鼎简特宋"/>
          <w:b/>
          <w:spacing w:val="10"/>
          <w:sz w:val="28"/>
        </w:rPr>
        <w:t xml:space="preserve"> </w:t>
      </w:r>
      <w:r>
        <w:rPr>
          <w:rFonts w:hint="eastAsia" w:ascii="Arial" w:hAnsi="Arial" w:eastAsia="汉鼎简特宋"/>
          <w:b/>
          <w:spacing w:val="10"/>
          <w:sz w:val="28"/>
        </w:rPr>
        <w:t>号</w:t>
      </w:r>
      <w:r>
        <w:rPr>
          <w:rFonts w:hint="eastAsia" w:ascii="Arial" w:hAnsi="Arial" w:eastAsia="汉鼎简黑变"/>
          <w:b/>
          <w:sz w:val="28"/>
        </w:rPr>
        <w:t>：</w:t>
      </w:r>
      <w:r>
        <w:rPr>
          <w:rFonts w:hint="eastAsia" w:ascii="Arial" w:hAnsi="Arial" w:eastAsia="汉鼎简黑变"/>
          <w:b/>
          <w:sz w:val="28"/>
          <w:u w:val="single"/>
        </w:rPr>
        <w:t xml:space="preserve"> </w:t>
      </w:r>
      <w:r>
        <w:rPr>
          <w:rFonts w:hint="eastAsia" w:ascii="Arial" w:hAnsi="Arial" w:eastAsia="汉鼎简黑变"/>
          <w:sz w:val="28"/>
          <w:u w:val="single"/>
        </w:rPr>
        <w:t xml:space="preserve">        </w:t>
      </w:r>
      <w:r>
        <w:rPr>
          <w:rFonts w:hint="eastAsia" w:ascii="Arial" w:hAnsi="Arial" w:eastAsia="楷体_GB2312"/>
          <w:position w:val="6"/>
          <w:sz w:val="30"/>
          <w:u w:val="single"/>
        </w:rPr>
        <w:t xml:space="preserve"> </w:t>
      </w:r>
      <w:r>
        <w:rPr>
          <w:rFonts w:hint="eastAsia" w:ascii="Arial" w:hAnsi="Arial" w:eastAsia="楷体_GB2312"/>
          <w:position w:val="6"/>
          <w:sz w:val="30"/>
          <w:u w:val="single"/>
          <w:lang w:val="en-US" w:eastAsia="zh-CN"/>
        </w:rPr>
        <w:t xml:space="preserve"> </w:t>
      </w:r>
      <w:r>
        <w:rPr>
          <w:rFonts w:hint="eastAsia" w:ascii="Arial" w:hAnsi="Arial" w:eastAsia="楷体_GB2312"/>
          <w:position w:val="6"/>
          <w:sz w:val="30"/>
          <w:u w:val="single"/>
        </w:rPr>
        <w:t xml:space="preserve">      </w:t>
      </w:r>
      <w:r>
        <w:rPr>
          <w:rFonts w:hint="eastAsia" w:ascii="Arial" w:hAnsi="Arial" w:eastAsia="楷体_GB2312"/>
          <w:position w:val="6"/>
          <w:sz w:val="30"/>
          <w:u w:val="single"/>
          <w:lang w:val="en-US" w:eastAsia="zh-CN"/>
        </w:rPr>
        <w:t xml:space="preserve"> </w:t>
      </w:r>
      <w:r>
        <w:rPr>
          <w:rFonts w:hint="eastAsia" w:ascii="Arial" w:hAnsi="Arial" w:eastAsia="楷体_GB2312"/>
          <w:position w:val="6"/>
          <w:sz w:val="30"/>
          <w:u w:val="single"/>
        </w:rPr>
        <w:t xml:space="preserve">             </w:t>
      </w:r>
    </w:p>
    <w:p w14:paraId="64D53131">
      <w:pPr>
        <w:tabs>
          <w:tab w:val="left" w:pos="2674"/>
          <w:tab w:val="left" w:pos="7560"/>
        </w:tabs>
        <w:spacing w:line="560" w:lineRule="exact"/>
        <w:ind w:firstLine="851" w:firstLineChars="265"/>
        <w:rPr>
          <w:rFonts w:ascii="Arial" w:hAnsi="Arial" w:eastAsia="汉鼎简黑变"/>
          <w:sz w:val="28"/>
        </w:rPr>
      </w:pPr>
      <w:r>
        <w:rPr>
          <w:rFonts w:hint="eastAsia" w:ascii="Arial" w:hAnsi="Arial" w:eastAsia="汉鼎简特宋"/>
          <w:b/>
          <w:spacing w:val="20"/>
          <w:sz w:val="28"/>
        </w:rPr>
        <w:t>采  购  人</w:t>
      </w:r>
      <w:r>
        <w:rPr>
          <w:rFonts w:hint="eastAsia" w:ascii="Arial" w:hAnsi="Arial" w:eastAsia="汉鼎简黑变"/>
          <w:b/>
          <w:sz w:val="28"/>
        </w:rPr>
        <w:t>：</w:t>
      </w:r>
      <w:r>
        <w:rPr>
          <w:rFonts w:hint="eastAsia" w:ascii="Arial" w:hAnsi="Arial" w:eastAsia="汉鼎简黑变"/>
          <w:b/>
          <w:sz w:val="28"/>
          <w:u w:val="single"/>
        </w:rPr>
        <w:t xml:space="preserve"> </w:t>
      </w:r>
      <w:r>
        <w:rPr>
          <w:rFonts w:ascii="Arial" w:hAnsi="Arial" w:eastAsia="汉鼎简黑变"/>
          <w:b/>
          <w:sz w:val="28"/>
          <w:u w:val="single"/>
        </w:rPr>
        <w:t>德阳高新</w:t>
      </w:r>
      <w:r>
        <w:rPr>
          <w:rFonts w:hint="eastAsia" w:ascii="Arial" w:hAnsi="Arial" w:eastAsia="汉鼎简黑变"/>
          <w:b/>
          <w:sz w:val="28"/>
          <w:u w:val="single"/>
          <w:lang w:val="en-US" w:eastAsia="zh-CN"/>
        </w:rPr>
        <w:t>国有资本投资运行</w:t>
      </w:r>
      <w:r>
        <w:rPr>
          <w:rFonts w:ascii="Arial" w:hAnsi="Arial" w:eastAsia="汉鼎简黑变"/>
          <w:b/>
          <w:sz w:val="28"/>
          <w:u w:val="single"/>
        </w:rPr>
        <w:t>有限公司</w:t>
      </w:r>
    </w:p>
    <w:p w14:paraId="07F3F8D7">
      <w:pPr>
        <w:tabs>
          <w:tab w:val="left" w:pos="1890"/>
          <w:tab w:val="left" w:pos="7560"/>
        </w:tabs>
        <w:spacing w:line="560" w:lineRule="exact"/>
        <w:ind w:firstLine="870" w:firstLineChars="271"/>
        <w:rPr>
          <w:rFonts w:ascii="Arial" w:hAnsi="Arial" w:eastAsia="汉鼎简黑变"/>
          <w:b/>
          <w:sz w:val="28"/>
          <w:u w:val="single"/>
        </w:rPr>
      </w:pPr>
      <w:r>
        <w:rPr>
          <w:rFonts w:hint="eastAsia" w:ascii="Arial" w:hAnsi="Arial" w:eastAsia="汉鼎简特宋"/>
          <w:b/>
          <w:spacing w:val="20"/>
          <w:sz w:val="28"/>
        </w:rPr>
        <w:t>供  应  商</w:t>
      </w:r>
      <w:r>
        <w:rPr>
          <w:rFonts w:hint="eastAsia" w:ascii="Arial" w:hAnsi="Arial" w:eastAsia="汉鼎简黑变"/>
          <w:b/>
          <w:sz w:val="28"/>
        </w:rPr>
        <w:t>：</w:t>
      </w:r>
      <w:r>
        <w:rPr>
          <w:rFonts w:hint="eastAsia" w:ascii="Arial" w:hAnsi="Arial" w:eastAsia="汉鼎简黑变"/>
          <w:b/>
          <w:sz w:val="28"/>
          <w:u w:val="single"/>
        </w:rPr>
        <w:t xml:space="preserve">  </w:t>
      </w:r>
      <w:r>
        <w:rPr>
          <w:rFonts w:hint="eastAsia" w:ascii="Arial" w:hAnsi="Arial" w:eastAsia="汉鼎简黑变"/>
          <w:b/>
          <w:sz w:val="28"/>
          <w:u w:val="single"/>
          <w:lang w:val="en-US" w:eastAsia="zh-CN"/>
        </w:rPr>
        <w:t xml:space="preserve">                             </w:t>
      </w:r>
      <w:r>
        <w:rPr>
          <w:rFonts w:hint="eastAsia" w:ascii="Arial" w:hAnsi="Arial" w:eastAsia="汉鼎简黑变"/>
          <w:b/>
          <w:sz w:val="28"/>
          <w:u w:val="single"/>
        </w:rPr>
        <w:t xml:space="preserve"> </w:t>
      </w:r>
    </w:p>
    <w:p w14:paraId="32185061">
      <w:pPr>
        <w:tabs>
          <w:tab w:val="left" w:pos="1890"/>
          <w:tab w:val="left" w:pos="7560"/>
        </w:tabs>
        <w:spacing w:line="560" w:lineRule="exact"/>
        <w:ind w:firstLine="849" w:firstLineChars="282"/>
        <w:rPr>
          <w:rFonts w:ascii="Arial" w:hAnsi="Arial" w:eastAsia="汉鼎简特宋"/>
          <w:b/>
          <w:spacing w:val="20"/>
          <w:sz w:val="28"/>
          <w:u w:val="single"/>
        </w:rPr>
      </w:pPr>
      <w:r>
        <w:rPr>
          <w:rFonts w:ascii="Arial" w:hAnsi="Arial" w:eastAsia="汉鼎简特宋"/>
          <w:b/>
          <w:spacing w:val="10"/>
          <w:sz w:val="28"/>
        </w:rPr>
        <w:t>签</w:t>
      </w:r>
      <w:r>
        <w:rPr>
          <w:rFonts w:hint="eastAsia" w:ascii="Arial" w:hAnsi="Arial" w:eastAsia="汉鼎简特宋"/>
          <w:b/>
          <w:spacing w:val="10"/>
          <w:sz w:val="28"/>
        </w:rPr>
        <w:t xml:space="preserve"> </w:t>
      </w:r>
      <w:r>
        <w:rPr>
          <w:rFonts w:ascii="Arial" w:hAnsi="Arial" w:eastAsia="汉鼎简特宋"/>
          <w:b/>
          <w:spacing w:val="10"/>
          <w:sz w:val="28"/>
        </w:rPr>
        <w:t>订</w:t>
      </w:r>
      <w:r>
        <w:rPr>
          <w:rFonts w:hint="eastAsia" w:ascii="Arial" w:hAnsi="Arial" w:eastAsia="汉鼎简特宋"/>
          <w:b/>
          <w:spacing w:val="10"/>
          <w:sz w:val="28"/>
        </w:rPr>
        <w:t xml:space="preserve"> </w:t>
      </w:r>
      <w:r>
        <w:rPr>
          <w:rFonts w:ascii="Arial" w:hAnsi="Arial" w:eastAsia="汉鼎简特宋"/>
          <w:b/>
          <w:spacing w:val="10"/>
          <w:sz w:val="28"/>
        </w:rPr>
        <w:t>地</w:t>
      </w:r>
      <w:r>
        <w:rPr>
          <w:rFonts w:hint="eastAsia" w:ascii="Arial" w:hAnsi="Arial" w:eastAsia="汉鼎简特宋"/>
          <w:b/>
          <w:spacing w:val="10"/>
          <w:sz w:val="28"/>
        </w:rPr>
        <w:t xml:space="preserve"> </w:t>
      </w:r>
      <w:r>
        <w:rPr>
          <w:rFonts w:ascii="Arial" w:hAnsi="Arial" w:eastAsia="汉鼎简特宋"/>
          <w:b/>
          <w:spacing w:val="10"/>
          <w:sz w:val="28"/>
        </w:rPr>
        <w:t>点：</w:t>
      </w:r>
      <w:r>
        <w:rPr>
          <w:rFonts w:hint="eastAsia" w:ascii="Arial" w:hAnsi="Arial" w:eastAsia="汉鼎简特宋"/>
          <w:b/>
          <w:spacing w:val="10"/>
          <w:sz w:val="28"/>
          <w:u w:val="single"/>
        </w:rPr>
        <w:t xml:space="preserve">  </w:t>
      </w:r>
      <w:r>
        <w:rPr>
          <w:rFonts w:hint="eastAsia" w:ascii="Arial" w:hAnsi="Arial" w:eastAsia="汉鼎简特宋"/>
          <w:b/>
          <w:spacing w:val="10"/>
          <w:sz w:val="28"/>
          <w:u w:val="single"/>
          <w:lang w:val="en-US" w:eastAsia="zh-CN"/>
        </w:rPr>
        <w:t xml:space="preserve">      </w:t>
      </w:r>
      <w:r>
        <w:rPr>
          <w:rFonts w:hint="eastAsia" w:ascii="Arial" w:hAnsi="Arial" w:eastAsia="汉鼎简特宋"/>
          <w:b/>
          <w:spacing w:val="20"/>
          <w:sz w:val="28"/>
          <w:u w:val="single"/>
        </w:rPr>
        <w:t xml:space="preserve">德阳高新区  </w:t>
      </w:r>
      <w:r>
        <w:rPr>
          <w:rFonts w:hint="eastAsia" w:ascii="Arial" w:hAnsi="Arial" w:eastAsia="汉鼎简特宋"/>
          <w:b/>
          <w:spacing w:val="20"/>
          <w:sz w:val="28"/>
          <w:u w:val="single"/>
          <w:lang w:val="en-US" w:eastAsia="zh-CN"/>
        </w:rPr>
        <w:t xml:space="preserve">   </w:t>
      </w:r>
      <w:r>
        <w:rPr>
          <w:rFonts w:hint="eastAsia" w:ascii="Arial" w:hAnsi="Arial" w:eastAsia="汉鼎简特宋"/>
          <w:b/>
          <w:spacing w:val="20"/>
          <w:sz w:val="28"/>
          <w:u w:val="single"/>
        </w:rPr>
        <w:t xml:space="preserve">     </w:t>
      </w:r>
    </w:p>
    <w:p w14:paraId="778E1EE1">
      <w:pPr>
        <w:tabs>
          <w:tab w:val="left" w:pos="1785"/>
          <w:tab w:val="left" w:pos="2688"/>
        </w:tabs>
        <w:spacing w:line="560" w:lineRule="exact"/>
        <w:ind w:firstLine="870" w:firstLineChars="289"/>
        <w:rPr>
          <w:rFonts w:ascii="Arial" w:hAnsi="Arial" w:eastAsia="汉鼎简黑变"/>
          <w:sz w:val="28"/>
          <w:u w:val="single"/>
        </w:rPr>
      </w:pPr>
      <w:r>
        <w:rPr>
          <w:rFonts w:hint="eastAsia" w:ascii="Arial" w:hAnsi="Arial" w:eastAsia="汉鼎简特宋"/>
          <w:b/>
          <w:spacing w:val="10"/>
          <w:sz w:val="28"/>
        </w:rPr>
        <w:t>签 订 日 期</w:t>
      </w:r>
      <w:r>
        <w:rPr>
          <w:rFonts w:hint="eastAsia" w:ascii="Arial" w:hAnsi="Arial" w:eastAsia="汉鼎简黑变"/>
          <w:b/>
          <w:sz w:val="28"/>
        </w:rPr>
        <w:t>：</w:t>
      </w:r>
      <w:r>
        <w:rPr>
          <w:rFonts w:hint="eastAsia" w:ascii="Arial" w:hAnsi="Arial" w:eastAsia="汉鼎简黑变"/>
          <w:sz w:val="28"/>
          <w:u w:val="single"/>
        </w:rPr>
        <w:t xml:space="preserve">    </w:t>
      </w:r>
      <w:r>
        <w:rPr>
          <w:rFonts w:hint="eastAsia" w:ascii="Arial" w:hAnsi="Arial" w:eastAsia="汉鼎简黑变"/>
          <w:sz w:val="28"/>
          <w:u w:val="single"/>
          <w:lang w:val="en-US" w:eastAsia="zh-CN"/>
        </w:rPr>
        <w:t xml:space="preserve">  </w:t>
      </w:r>
      <w:r>
        <w:rPr>
          <w:rFonts w:hint="eastAsia" w:ascii="Arial" w:hAnsi="Arial" w:eastAsia="汉鼎简黑变"/>
          <w:sz w:val="28"/>
          <w:u w:val="single"/>
        </w:rPr>
        <w:t xml:space="preserve"> </w:t>
      </w:r>
      <w:r>
        <w:rPr>
          <w:rFonts w:hint="eastAsia" w:ascii="Arial" w:hAnsi="Arial" w:eastAsia="汉鼎简黑变"/>
          <w:b/>
          <w:sz w:val="28"/>
          <w:u w:val="single"/>
        </w:rPr>
        <w:t>202</w:t>
      </w:r>
      <w:r>
        <w:rPr>
          <w:rFonts w:hint="eastAsia" w:ascii="Arial" w:hAnsi="Arial" w:eastAsia="汉鼎简黑变"/>
          <w:b/>
          <w:sz w:val="28"/>
          <w:u w:val="single"/>
          <w:lang w:val="en-US" w:eastAsia="zh-CN"/>
        </w:rPr>
        <w:t>4</w:t>
      </w:r>
      <w:r>
        <w:rPr>
          <w:rFonts w:hint="eastAsia" w:ascii="Arial" w:hAnsi="Arial" w:eastAsia="汉鼎简黑变"/>
          <w:b/>
          <w:sz w:val="28"/>
          <w:u w:val="single"/>
        </w:rPr>
        <w:t>年</w:t>
      </w:r>
      <w:r>
        <w:rPr>
          <w:rFonts w:hint="eastAsia" w:ascii="Arial" w:hAnsi="Arial" w:eastAsia="汉鼎简黑变"/>
          <w:b/>
          <w:sz w:val="28"/>
          <w:u w:val="single"/>
          <w:lang w:val="en-US" w:eastAsia="zh-CN"/>
        </w:rPr>
        <w:t>10</w:t>
      </w:r>
      <w:r>
        <w:rPr>
          <w:rFonts w:hint="eastAsia" w:ascii="Arial" w:hAnsi="Arial" w:eastAsia="汉鼎简黑变"/>
          <w:b/>
          <w:sz w:val="28"/>
          <w:u w:val="single"/>
        </w:rPr>
        <w:t xml:space="preserve">月 </w:t>
      </w:r>
      <w:r>
        <w:rPr>
          <w:rFonts w:hint="eastAsia" w:ascii="Arial" w:hAnsi="Arial" w:eastAsia="汉鼎简黑变"/>
          <w:sz w:val="28"/>
          <w:u w:val="single"/>
        </w:rPr>
        <w:t xml:space="preserve"> </w:t>
      </w:r>
      <w:r>
        <w:rPr>
          <w:rFonts w:hint="eastAsia" w:ascii="Arial" w:hAnsi="Arial" w:eastAsia="汉鼎简黑变"/>
          <w:sz w:val="28"/>
          <w:u w:val="single"/>
          <w:lang w:val="en-US" w:eastAsia="zh-CN"/>
        </w:rPr>
        <w:t xml:space="preserve">        </w:t>
      </w:r>
      <w:r>
        <w:rPr>
          <w:rFonts w:hint="eastAsia" w:ascii="Arial" w:hAnsi="Arial" w:eastAsia="汉鼎简黑变"/>
          <w:sz w:val="28"/>
          <w:u w:val="single"/>
        </w:rPr>
        <w:t xml:space="preserve">   </w:t>
      </w:r>
    </w:p>
    <w:p w14:paraId="77F127C7">
      <w:pPr>
        <w:tabs>
          <w:tab w:val="left" w:pos="1785"/>
          <w:tab w:val="left" w:pos="2688"/>
        </w:tabs>
        <w:spacing w:line="560" w:lineRule="exact"/>
        <w:rPr>
          <w:rFonts w:ascii="Arial" w:hAnsi="Arial" w:eastAsia="汉鼎简黑变"/>
          <w:sz w:val="28"/>
        </w:rPr>
      </w:pPr>
    </w:p>
    <w:p w14:paraId="577B49B5">
      <w:pPr>
        <w:tabs>
          <w:tab w:val="left" w:pos="1785"/>
          <w:tab w:val="left" w:pos="2688"/>
        </w:tabs>
        <w:spacing w:line="560" w:lineRule="exact"/>
        <w:ind w:firstLine="809" w:firstLineChars="289"/>
        <w:rPr>
          <w:rFonts w:ascii="Arial" w:hAnsi="Arial" w:eastAsia="汉鼎简黑变"/>
          <w:sz w:val="28"/>
        </w:rPr>
      </w:pPr>
    </w:p>
    <w:p w14:paraId="0B356B84">
      <w:pPr>
        <w:pStyle w:val="3"/>
        <w:rPr>
          <w:rFonts w:ascii="Arial" w:hAnsi="Arial" w:eastAsia="汉鼎简黑变"/>
          <w:sz w:val="28"/>
        </w:rPr>
      </w:pPr>
    </w:p>
    <w:p w14:paraId="6C729B57"/>
    <w:p w14:paraId="5ACD1DCF">
      <w:pPr>
        <w:tabs>
          <w:tab w:val="left" w:pos="1785"/>
          <w:tab w:val="left" w:pos="2688"/>
        </w:tabs>
        <w:spacing w:line="560" w:lineRule="exact"/>
        <w:jc w:val="center"/>
        <w:rPr>
          <w:rFonts w:hint="eastAsia" w:ascii="Arial" w:hAnsi="Arial" w:eastAsia="汉鼎简特宋"/>
          <w:sz w:val="28"/>
        </w:rPr>
      </w:pPr>
    </w:p>
    <w:p w14:paraId="6D272ADE">
      <w:pPr>
        <w:tabs>
          <w:tab w:val="left" w:pos="1785"/>
          <w:tab w:val="left" w:pos="2688"/>
        </w:tabs>
        <w:spacing w:line="560" w:lineRule="exact"/>
        <w:jc w:val="center"/>
        <w:rPr>
          <w:rFonts w:hint="eastAsia" w:ascii="Arial" w:hAnsi="Arial" w:eastAsia="汉鼎简特宋"/>
          <w:sz w:val="28"/>
        </w:rPr>
      </w:pPr>
    </w:p>
    <w:p w14:paraId="35E245A2">
      <w:pPr>
        <w:pStyle w:val="8"/>
        <w:spacing w:line="360" w:lineRule="auto"/>
        <w:ind w:left="1798" w:hanging="1797" w:hangingChars="749"/>
        <w:rPr>
          <w:rFonts w:cs="Times New Roman"/>
        </w:rPr>
      </w:pPr>
    </w:p>
    <w:p w14:paraId="05306B65">
      <w:pPr>
        <w:pStyle w:val="8"/>
        <w:spacing w:line="360" w:lineRule="auto"/>
        <w:ind w:left="1798" w:hanging="1797" w:hangingChars="749"/>
        <w:rPr>
          <w:rFonts w:cs="Times New Roman"/>
        </w:rPr>
      </w:pPr>
    </w:p>
    <w:p w14:paraId="13E88308">
      <w:pPr>
        <w:pStyle w:val="8"/>
        <w:spacing w:line="360" w:lineRule="auto"/>
        <w:ind w:left="0" w:leftChars="0" w:firstLine="0" w:firstLineChars="0"/>
        <w:rPr>
          <w:rFonts w:cs="Times New Roman"/>
        </w:rPr>
      </w:pPr>
    </w:p>
    <w:p w14:paraId="5355DA1D">
      <w:pPr>
        <w:pStyle w:val="8"/>
        <w:spacing w:line="360" w:lineRule="auto"/>
        <w:ind w:firstLine="480"/>
        <w:rPr>
          <w:rFonts w:cs="Times New Roman"/>
        </w:rPr>
      </w:pPr>
      <w:r>
        <w:rPr>
          <w:rFonts w:cs="Times New Roman"/>
        </w:rPr>
        <w:t>采购人（甲方）：</w:t>
      </w:r>
    </w:p>
    <w:p w14:paraId="496128E2">
      <w:pPr>
        <w:pStyle w:val="8"/>
        <w:spacing w:line="360" w:lineRule="auto"/>
        <w:ind w:firstLine="480"/>
        <w:rPr>
          <w:rFonts w:cs="Times New Roman"/>
        </w:rPr>
      </w:pPr>
      <w:r>
        <w:rPr>
          <w:rFonts w:cs="Times New Roman"/>
        </w:rPr>
        <w:t xml:space="preserve">供应商（乙方）： </w:t>
      </w:r>
    </w:p>
    <w:p w14:paraId="5AFD5F06">
      <w:pPr>
        <w:widowControl/>
        <w:autoSpaceDE w:val="0"/>
        <w:autoSpaceDN w:val="0"/>
        <w:spacing w:line="360" w:lineRule="auto"/>
        <w:ind w:right="53" w:firstLine="480" w:firstLineChars="200"/>
        <w:textAlignment w:val="bottom"/>
        <w:rPr>
          <w:rFonts w:ascii="宋体" w:hAnsi="宋体"/>
          <w:sz w:val="24"/>
        </w:rPr>
      </w:pPr>
      <w:r>
        <w:rPr>
          <w:rFonts w:hint="eastAsia" w:ascii="宋体" w:hAnsi="宋体"/>
          <w:sz w:val="24"/>
        </w:rPr>
        <w:t>根据《中华人民共和国</w:t>
      </w:r>
      <w:r>
        <w:rPr>
          <w:rFonts w:hint="eastAsia" w:ascii="宋体" w:hAnsi="宋体"/>
          <w:sz w:val="24"/>
          <w:lang w:val="en-US" w:eastAsia="zh-CN"/>
        </w:rPr>
        <w:t>民法典</w:t>
      </w:r>
      <w:r>
        <w:rPr>
          <w:rFonts w:hint="eastAsia" w:ascii="宋体" w:hAnsi="宋体"/>
          <w:sz w:val="24"/>
        </w:rPr>
        <w:t>》及德阳高新区</w:t>
      </w:r>
      <w:r>
        <w:rPr>
          <w:rFonts w:hint="eastAsia" w:ascii="宋体" w:hAnsi="宋体"/>
          <w:sz w:val="24"/>
          <w:lang w:val="en-US" w:eastAsia="zh-CN"/>
        </w:rPr>
        <w:t>万胜一街（一标段）、万胜一街延伸段、万福配套一号道路</w:t>
      </w:r>
      <w:r>
        <w:rPr>
          <w:rFonts w:hint="eastAsia" w:ascii="宋体" w:hAnsi="宋体"/>
          <w:sz w:val="24"/>
        </w:rPr>
        <w:t>建设项目</w:t>
      </w:r>
      <w:r>
        <w:rPr>
          <w:rFonts w:hint="eastAsia" w:ascii="宋体" w:hAnsi="宋体"/>
          <w:sz w:val="24"/>
          <w:lang w:eastAsia="zh-CN"/>
        </w:rPr>
        <w:t>行洪论证编制服务</w:t>
      </w:r>
      <w:r>
        <w:rPr>
          <w:rFonts w:hint="eastAsia" w:ascii="宋体" w:hAnsi="宋体"/>
          <w:sz w:val="24"/>
        </w:rPr>
        <w:t>采购项目的《</w:t>
      </w:r>
      <w:r>
        <w:rPr>
          <w:rFonts w:hint="eastAsia" w:ascii="宋体" w:hAnsi="宋体"/>
          <w:sz w:val="24"/>
          <w:lang w:eastAsia="zh-CN"/>
        </w:rPr>
        <w:t>询价文件</w:t>
      </w:r>
      <w:bookmarkStart w:id="34" w:name="_GoBack"/>
      <w:bookmarkEnd w:id="34"/>
      <w:r>
        <w:rPr>
          <w:rFonts w:hint="eastAsia" w:ascii="宋体" w:hAnsi="宋体"/>
          <w:sz w:val="24"/>
        </w:rPr>
        <w:t>》、乙方的响应文件及成交通知书，甲、乙双方同意签订本合同。详细技术说明及其他有关合同项目的特定信息由合同附件予以说明，合同附件及本项目的</w:t>
      </w:r>
      <w:r>
        <w:rPr>
          <w:rFonts w:hint="eastAsia" w:ascii="宋体" w:hAnsi="宋体"/>
          <w:sz w:val="24"/>
          <w:lang w:eastAsia="zh-CN"/>
        </w:rPr>
        <w:t>询价</w:t>
      </w:r>
      <w:r>
        <w:rPr>
          <w:rFonts w:hint="eastAsia" w:ascii="宋体" w:hAnsi="宋体"/>
          <w:sz w:val="24"/>
        </w:rPr>
        <w:t>文件、响应文件、成交通知书等均为本合同不可分割的部分。双方同意共同遵守如下条款：</w:t>
      </w:r>
    </w:p>
    <w:p w14:paraId="109795A3">
      <w:pPr>
        <w:numPr>
          <w:ilvl w:val="0"/>
          <w:numId w:val="1"/>
        </w:numPr>
        <w:spacing w:line="360" w:lineRule="auto"/>
        <w:ind w:left="426"/>
        <w:rPr>
          <w:b/>
          <w:bCs/>
          <w:sz w:val="24"/>
        </w:rPr>
      </w:pPr>
      <w:r>
        <w:rPr>
          <w:rFonts w:hint="eastAsia"/>
          <w:b/>
          <w:bCs/>
          <w:sz w:val="24"/>
        </w:rPr>
        <w:t>项目基本情况</w:t>
      </w:r>
    </w:p>
    <w:p w14:paraId="37A246C3">
      <w:pPr>
        <w:spacing w:line="360" w:lineRule="auto"/>
        <w:ind w:firstLine="420" w:firstLineChars="175"/>
        <w:rPr>
          <w:sz w:val="24"/>
          <w:u w:val="single"/>
        </w:rPr>
      </w:pPr>
      <w:r>
        <w:rPr>
          <w:rFonts w:hint="eastAsia"/>
          <w:sz w:val="24"/>
        </w:rPr>
        <w:t>为</w:t>
      </w:r>
      <w:r>
        <w:rPr>
          <w:rFonts w:hint="eastAsia"/>
          <w:sz w:val="24"/>
          <w:lang w:val="en-US" w:eastAsia="zh-CN"/>
        </w:rPr>
        <w:t>尽快建设完成德阳高新区“宜居宜业美丽园区”，德阳高新区决定加快建设相关项目，本次万胜一街（一标段）长约953.319米，宽20米；万胜一街延伸段建设长度约1560米，宽20米；万福配套一号道路建设长度约977米，宽24米。施工包含道路工程、交通工程、排水工程。</w:t>
      </w:r>
    </w:p>
    <w:p w14:paraId="4AB68A4D">
      <w:pPr>
        <w:spacing w:line="360" w:lineRule="auto"/>
        <w:ind w:left="426"/>
        <w:rPr>
          <w:b/>
          <w:bCs/>
          <w:sz w:val="24"/>
        </w:rPr>
      </w:pPr>
      <w:r>
        <w:rPr>
          <w:rFonts w:hint="eastAsia"/>
          <w:b/>
          <w:bCs/>
          <w:sz w:val="24"/>
        </w:rPr>
        <w:t>第二条 工作完成期限</w:t>
      </w:r>
    </w:p>
    <w:p w14:paraId="6C1272CC">
      <w:pPr>
        <w:spacing w:line="360" w:lineRule="auto"/>
        <w:ind w:firstLine="480" w:firstLineChars="200"/>
        <w:rPr>
          <w:b/>
          <w:bCs/>
          <w:sz w:val="24"/>
        </w:rPr>
      </w:pPr>
      <w:r>
        <w:rPr>
          <w:rFonts w:hint="eastAsia" w:ascii="宋体" w:hAnsi="宋体"/>
          <w:sz w:val="24"/>
        </w:rPr>
        <w:t>签订本合同后，甲方提供基础资料后</w:t>
      </w:r>
      <w:r>
        <w:rPr>
          <w:rFonts w:hint="eastAsia" w:ascii="宋体" w:hAnsi="宋体"/>
          <w:sz w:val="24"/>
          <w:lang w:val="en-US" w:eastAsia="zh-CN"/>
        </w:rPr>
        <w:t>15</w:t>
      </w:r>
      <w:r>
        <w:rPr>
          <w:rFonts w:hint="eastAsia" w:ascii="宋体" w:hAnsi="宋体"/>
          <w:sz w:val="24"/>
        </w:rPr>
        <w:t>日内完成编制工作，并取得相应批复文件。</w:t>
      </w:r>
    </w:p>
    <w:p w14:paraId="34202885">
      <w:pPr>
        <w:spacing w:line="360" w:lineRule="auto"/>
        <w:ind w:left="426"/>
        <w:rPr>
          <w:b/>
          <w:bCs/>
          <w:sz w:val="24"/>
        </w:rPr>
      </w:pPr>
      <w:r>
        <w:rPr>
          <w:rFonts w:hint="eastAsia"/>
          <w:b/>
          <w:bCs/>
          <w:sz w:val="24"/>
        </w:rPr>
        <w:t>第三条 服务内容与质量标准</w:t>
      </w:r>
    </w:p>
    <w:p w14:paraId="11F48B0E">
      <w:pPr>
        <w:autoSpaceDE w:val="0"/>
        <w:spacing w:line="360" w:lineRule="auto"/>
        <w:rPr>
          <w:b/>
          <w:sz w:val="24"/>
        </w:rPr>
      </w:pPr>
      <w:r>
        <w:rPr>
          <w:sz w:val="24"/>
        </w:rPr>
        <w:t>（1）按相关要求</w:t>
      </w:r>
      <w:r>
        <w:rPr>
          <w:rFonts w:hint="eastAsia"/>
          <w:sz w:val="24"/>
          <w:lang w:val="en-US" w:eastAsia="zh-CN"/>
        </w:rPr>
        <w:t>完成万胜一街（一标段）、万胜一街延伸段、万福配套一号行洪论证报告所含的水文、勘测资料、成果汇编并取得相关部门批复</w:t>
      </w:r>
      <w:r>
        <w:rPr>
          <w:sz w:val="24"/>
        </w:rPr>
        <w:t>和提供后续服务。</w:t>
      </w:r>
    </w:p>
    <w:p w14:paraId="6BB4EE55">
      <w:pPr>
        <w:autoSpaceDE w:val="0"/>
        <w:spacing w:line="360" w:lineRule="auto"/>
        <w:rPr>
          <w:b/>
          <w:sz w:val="24"/>
        </w:rPr>
      </w:pPr>
      <w:r>
        <w:rPr>
          <w:sz w:val="24"/>
        </w:rPr>
        <w:t>（2）应具有</w:t>
      </w:r>
      <w:r>
        <w:rPr>
          <w:rFonts w:hint="eastAsia"/>
          <w:sz w:val="24"/>
        </w:rPr>
        <w:t>真实性</w:t>
      </w:r>
      <w:r>
        <w:rPr>
          <w:sz w:val="24"/>
        </w:rPr>
        <w:t>、</w:t>
      </w:r>
      <w:r>
        <w:rPr>
          <w:rFonts w:hint="eastAsia"/>
          <w:sz w:val="24"/>
        </w:rPr>
        <w:t>准确性</w:t>
      </w:r>
      <w:r>
        <w:rPr>
          <w:sz w:val="24"/>
        </w:rPr>
        <w:t>、易实施的特点，能为后期决策提供准确信息。</w:t>
      </w:r>
    </w:p>
    <w:p w14:paraId="27CEE507">
      <w:pPr>
        <w:autoSpaceDE w:val="0"/>
        <w:spacing w:line="360" w:lineRule="auto"/>
        <w:rPr>
          <w:sz w:val="24"/>
        </w:rPr>
      </w:pPr>
      <w:r>
        <w:rPr>
          <w:sz w:val="24"/>
        </w:rPr>
        <w:t>（3）完成的成果文件必须满足国家现行的方针、政策、法律、法规，符合工程建设强制性条文的要求；同时完成的成果文件应达到相关规定的深度，假如不能满足要求，由乙方负责完善至符合要求为止。</w:t>
      </w:r>
    </w:p>
    <w:p w14:paraId="193E9314">
      <w:pPr>
        <w:autoSpaceDE w:val="0"/>
        <w:spacing w:line="360" w:lineRule="auto"/>
        <w:rPr>
          <w:sz w:val="24"/>
        </w:rPr>
      </w:pPr>
      <w:r>
        <w:rPr>
          <w:sz w:val="24"/>
        </w:rPr>
        <w:t>（4）提交项目的成果文件必须符合相关规定，并通过专家评审，通过行政主管部门审批并取得批复文件。</w:t>
      </w:r>
    </w:p>
    <w:p w14:paraId="01193F79">
      <w:pPr>
        <w:spacing w:line="360" w:lineRule="auto"/>
        <w:rPr>
          <w:sz w:val="24"/>
        </w:rPr>
      </w:pPr>
      <w:r>
        <w:rPr>
          <w:sz w:val="24"/>
        </w:rPr>
        <w:t>（5）项目完成后，提交正式成果文件（按项目分项分别提交）。</w:t>
      </w:r>
    </w:p>
    <w:p w14:paraId="10F2B389">
      <w:pPr>
        <w:spacing w:line="360" w:lineRule="auto"/>
        <w:rPr>
          <w:b/>
          <w:sz w:val="24"/>
        </w:rPr>
      </w:pPr>
      <w:r>
        <w:rPr>
          <w:rFonts w:hint="eastAsia"/>
          <w:b/>
          <w:sz w:val="24"/>
        </w:rPr>
        <w:t xml:space="preserve">    第四条  </w:t>
      </w:r>
      <w:r>
        <w:rPr>
          <w:b/>
          <w:sz w:val="24"/>
        </w:rPr>
        <w:t>服务费用及支付方式</w:t>
      </w:r>
    </w:p>
    <w:p w14:paraId="53766EB9">
      <w:pPr>
        <w:numPr>
          <w:ilvl w:val="0"/>
          <w:numId w:val="2"/>
        </w:numPr>
        <w:spacing w:line="360" w:lineRule="auto"/>
        <w:ind w:left="0" w:firstLine="567"/>
        <w:rPr>
          <w:b/>
          <w:sz w:val="24"/>
        </w:rPr>
      </w:pPr>
      <w:r>
        <w:rPr>
          <w:b/>
          <w:sz w:val="24"/>
        </w:rPr>
        <w:t>本项目服务费用由以下组成：</w:t>
      </w:r>
    </w:p>
    <w:p w14:paraId="7AA63D34">
      <w:pPr>
        <w:spacing w:line="360" w:lineRule="auto"/>
        <w:ind w:firstLine="480" w:firstLineChars="200"/>
        <w:rPr>
          <w:rFonts w:hint="eastAsia"/>
          <w:b/>
          <w:sz w:val="24"/>
          <w:lang w:eastAsia="zh-CN"/>
        </w:rPr>
      </w:pPr>
      <w:r>
        <w:rPr>
          <w:rFonts w:hint="eastAsia"/>
          <w:sz w:val="24"/>
          <w:lang w:eastAsia="zh-CN"/>
        </w:rPr>
        <w:t>该项目</w:t>
      </w:r>
      <w:r>
        <w:rPr>
          <w:sz w:val="24"/>
        </w:rPr>
        <w:t>成交金额为</w:t>
      </w:r>
      <w:r>
        <w:rPr>
          <w:rFonts w:hint="eastAsia"/>
          <w:sz w:val="24"/>
          <w:lang w:val="en-US" w:eastAsia="zh-CN"/>
        </w:rPr>
        <w:t xml:space="preserve">   </w:t>
      </w:r>
      <w:r>
        <w:rPr>
          <w:b/>
          <w:sz w:val="24"/>
        </w:rPr>
        <w:t>元（</w:t>
      </w:r>
      <w:r>
        <w:rPr>
          <w:b/>
          <w:sz w:val="24"/>
          <w:u w:val="single"/>
        </w:rPr>
        <w:t>大写：</w:t>
      </w:r>
      <w:r>
        <w:rPr>
          <w:b/>
          <w:sz w:val="24"/>
        </w:rPr>
        <w:t>）</w:t>
      </w:r>
      <w:r>
        <w:rPr>
          <w:rFonts w:hint="eastAsia"/>
          <w:b/>
          <w:w w:val="98"/>
          <w:sz w:val="24"/>
          <w:lang w:eastAsia="zh-CN"/>
        </w:rPr>
        <w:t>（其中：</w:t>
      </w:r>
      <w:r>
        <w:rPr>
          <w:rFonts w:hint="eastAsia" w:ascii="宋体" w:hAnsi="宋体"/>
          <w:w w:val="98"/>
          <w:sz w:val="24"/>
          <w:lang w:val="en-US" w:eastAsia="zh-CN"/>
        </w:rPr>
        <w:t>万胜一街（一标段）</w:t>
      </w:r>
      <w:r>
        <w:rPr>
          <w:rFonts w:hint="eastAsia" w:ascii="宋体" w:hAnsi="宋体"/>
          <w:w w:val="98"/>
          <w:sz w:val="24"/>
          <w:u w:val="single"/>
          <w:lang w:val="en-US" w:eastAsia="zh-CN"/>
        </w:rPr>
        <w:t xml:space="preserve">   </w:t>
      </w:r>
      <w:r>
        <w:rPr>
          <w:rFonts w:hint="eastAsia" w:ascii="宋体" w:hAnsi="宋体"/>
          <w:w w:val="98"/>
          <w:sz w:val="24"/>
          <w:lang w:val="en-US" w:eastAsia="zh-CN"/>
        </w:rPr>
        <w:t>元、万胜一街延伸段</w:t>
      </w:r>
      <w:r>
        <w:rPr>
          <w:rFonts w:hint="eastAsia" w:ascii="宋体" w:hAnsi="宋体"/>
          <w:w w:val="98"/>
          <w:sz w:val="24"/>
          <w:u w:val="single"/>
          <w:lang w:val="en-US" w:eastAsia="zh-CN"/>
        </w:rPr>
        <w:t xml:space="preserve">   元</w:t>
      </w:r>
      <w:r>
        <w:rPr>
          <w:rFonts w:hint="eastAsia" w:ascii="宋体" w:hAnsi="宋体"/>
          <w:w w:val="98"/>
          <w:sz w:val="24"/>
          <w:lang w:val="en-US" w:eastAsia="zh-CN"/>
        </w:rPr>
        <w:t>、万福配套一号道路</w:t>
      </w:r>
      <w:r>
        <w:rPr>
          <w:rFonts w:hint="eastAsia" w:ascii="宋体" w:hAnsi="宋体"/>
          <w:w w:val="98"/>
          <w:sz w:val="24"/>
          <w:u w:val="single"/>
          <w:lang w:val="en-US" w:eastAsia="zh-CN"/>
        </w:rPr>
        <w:t xml:space="preserve">   元</w:t>
      </w:r>
      <w:r>
        <w:rPr>
          <w:rFonts w:hint="eastAsia"/>
          <w:b/>
          <w:w w:val="98"/>
          <w:sz w:val="24"/>
          <w:lang w:eastAsia="zh-CN"/>
        </w:rPr>
        <w:t>）。</w:t>
      </w:r>
    </w:p>
    <w:p w14:paraId="6FFAFFB0">
      <w:pPr>
        <w:spacing w:line="360" w:lineRule="auto"/>
        <w:ind w:firstLine="482" w:firstLineChars="200"/>
        <w:rPr>
          <w:b/>
          <w:sz w:val="24"/>
        </w:rPr>
      </w:pPr>
      <w:r>
        <w:rPr>
          <w:rFonts w:hint="eastAsia" w:ascii="宋体" w:hAnsi="宋体"/>
          <w:b/>
          <w:sz w:val="24"/>
        </w:rPr>
        <w:t>该费用为包干费用，已包括但不限于编制费、评审费、会务费、监测费、人工费、材料费、交通费、差旅费、税费、利润等乙方为完成本合同项下约定服务的所有费用，以及后续服务费。</w:t>
      </w:r>
    </w:p>
    <w:p w14:paraId="1409D0B5">
      <w:pPr>
        <w:numPr>
          <w:ilvl w:val="0"/>
          <w:numId w:val="2"/>
        </w:numPr>
        <w:tabs>
          <w:tab w:val="left" w:pos="780"/>
        </w:tabs>
        <w:spacing w:line="360" w:lineRule="auto"/>
        <w:ind w:left="0" w:firstLine="567"/>
        <w:rPr>
          <w:b/>
          <w:sz w:val="24"/>
        </w:rPr>
      </w:pPr>
      <w:r>
        <w:rPr>
          <w:b/>
          <w:sz w:val="24"/>
        </w:rPr>
        <w:t xml:space="preserve">服务费支付方式： </w:t>
      </w:r>
    </w:p>
    <w:p w14:paraId="75579D5E">
      <w:pPr>
        <w:spacing w:line="360" w:lineRule="auto"/>
        <w:ind w:firstLine="480" w:firstLineChars="200"/>
        <w:rPr>
          <w:rFonts w:hint="eastAsia"/>
          <w:sz w:val="24"/>
          <w:lang w:val="en-US" w:eastAsia="zh-CN"/>
        </w:rPr>
      </w:pPr>
      <w:r>
        <w:rPr>
          <w:rFonts w:hint="eastAsia"/>
          <w:sz w:val="24"/>
          <w:lang w:val="en-US" w:eastAsia="zh-CN"/>
        </w:rPr>
        <w:t>1.完成报告编制工作，并通过专家评审，通过行政主管部门审批并取得批复文件后15个工作日内一次性支付合同费用。</w:t>
      </w:r>
    </w:p>
    <w:p w14:paraId="0449CC99">
      <w:pPr>
        <w:spacing w:line="360" w:lineRule="auto"/>
        <w:ind w:firstLine="480" w:firstLineChars="200"/>
        <w:rPr>
          <w:sz w:val="24"/>
        </w:rPr>
      </w:pPr>
      <w:r>
        <w:rPr>
          <w:rFonts w:hint="eastAsia"/>
          <w:sz w:val="24"/>
          <w:lang w:val="en-US" w:eastAsia="zh-CN"/>
        </w:rPr>
        <w:t>2.付款前，乙方应向甲方出具等额合法有效的增值税专用发票及付款申请材料，否则，</w:t>
      </w:r>
      <w:r>
        <w:rPr>
          <w:rFonts w:hint="eastAsia"/>
          <w:sz w:val="24"/>
          <w:lang w:eastAsia="zh-CN"/>
        </w:rPr>
        <w:t>甲方</w:t>
      </w:r>
      <w:r>
        <w:rPr>
          <w:rFonts w:hint="eastAsia"/>
          <w:sz w:val="24"/>
          <w:lang w:val="en-US" w:eastAsia="zh-CN"/>
        </w:rPr>
        <w:t>有权拒绝支付，且不承担任何迟延履行的法律责任。</w:t>
      </w:r>
    </w:p>
    <w:p w14:paraId="13B17304">
      <w:pPr>
        <w:spacing w:line="360" w:lineRule="auto"/>
        <w:ind w:firstLine="480" w:firstLineChars="200"/>
        <w:rPr>
          <w:sz w:val="24"/>
        </w:rPr>
      </w:pPr>
      <w:r>
        <w:rPr>
          <w:sz w:val="24"/>
        </w:rPr>
        <w:t>乙方指定收款银行账户如下：</w:t>
      </w:r>
    </w:p>
    <w:p w14:paraId="5697CB6B">
      <w:pPr>
        <w:spacing w:line="360" w:lineRule="auto"/>
        <w:ind w:firstLine="480" w:firstLineChars="200"/>
        <w:rPr>
          <w:sz w:val="24"/>
        </w:rPr>
      </w:pPr>
      <w:r>
        <w:rPr>
          <w:sz w:val="24"/>
        </w:rPr>
        <w:t>户名：</w:t>
      </w:r>
    </w:p>
    <w:p w14:paraId="16439E8B">
      <w:pPr>
        <w:spacing w:line="360" w:lineRule="auto"/>
        <w:ind w:firstLine="480" w:firstLineChars="200"/>
        <w:rPr>
          <w:sz w:val="24"/>
        </w:rPr>
      </w:pPr>
      <w:r>
        <w:rPr>
          <w:sz w:val="24"/>
        </w:rPr>
        <w:t>账号：</w:t>
      </w:r>
    </w:p>
    <w:p w14:paraId="2C3CEA89">
      <w:pPr>
        <w:spacing w:line="360" w:lineRule="auto"/>
        <w:ind w:firstLine="480" w:firstLineChars="200"/>
        <w:rPr>
          <w:sz w:val="24"/>
        </w:rPr>
      </w:pPr>
      <w:r>
        <w:rPr>
          <w:sz w:val="24"/>
        </w:rPr>
        <w:t>开户行：</w:t>
      </w:r>
    </w:p>
    <w:p w14:paraId="306A3244">
      <w:pPr>
        <w:spacing w:line="360" w:lineRule="auto"/>
        <w:ind w:left="426"/>
        <w:rPr>
          <w:b/>
          <w:sz w:val="24"/>
        </w:rPr>
      </w:pPr>
      <w:r>
        <w:rPr>
          <w:rFonts w:hint="eastAsia"/>
          <w:b/>
          <w:sz w:val="24"/>
        </w:rPr>
        <w:t xml:space="preserve">第五条  </w:t>
      </w:r>
      <w:r>
        <w:rPr>
          <w:b/>
          <w:sz w:val="24"/>
        </w:rPr>
        <w:t>知识产权</w:t>
      </w:r>
    </w:p>
    <w:p w14:paraId="47446C85">
      <w:pPr>
        <w:tabs>
          <w:tab w:val="left" w:pos="1440"/>
        </w:tabs>
        <w:spacing w:line="360" w:lineRule="auto"/>
        <w:ind w:firstLine="480" w:firstLineChars="200"/>
        <w:rPr>
          <w:sz w:val="24"/>
        </w:rPr>
      </w:pPr>
      <w:r>
        <w:rPr>
          <w:sz w:val="24"/>
        </w:rPr>
        <w:t>乙方应保证所提供的服务或其任何一部分均不会侵犯任何第三方的专利权、商标权或著作权。</w:t>
      </w:r>
      <w:r>
        <w:rPr>
          <w:rFonts w:hint="eastAsia"/>
          <w:sz w:val="24"/>
        </w:rPr>
        <w:t>向乙方所提交的工作成果归属甲方所有，未经甲方许可，乙方不得擅自使用或向其他任意第三方披露。</w:t>
      </w:r>
    </w:p>
    <w:p w14:paraId="266F0273">
      <w:pPr>
        <w:spacing w:line="360" w:lineRule="auto"/>
        <w:ind w:left="426"/>
        <w:rPr>
          <w:b/>
          <w:sz w:val="24"/>
        </w:rPr>
      </w:pPr>
      <w:r>
        <w:rPr>
          <w:rFonts w:hint="eastAsia"/>
          <w:b/>
          <w:sz w:val="24"/>
        </w:rPr>
        <w:t xml:space="preserve">第六条  </w:t>
      </w:r>
      <w:r>
        <w:rPr>
          <w:b/>
          <w:sz w:val="24"/>
        </w:rPr>
        <w:t>无产权瑕疵条款</w:t>
      </w:r>
    </w:p>
    <w:p w14:paraId="3A5CFC6F">
      <w:pPr>
        <w:tabs>
          <w:tab w:val="left" w:pos="1440"/>
        </w:tabs>
        <w:spacing w:line="360" w:lineRule="auto"/>
        <w:ind w:firstLine="480" w:firstLineChars="200"/>
        <w:rPr>
          <w:sz w:val="24"/>
        </w:rPr>
      </w:pPr>
      <w:r>
        <w:rPr>
          <w:sz w:val="24"/>
        </w:rPr>
        <w:t>乙方保证所提供的服务的所有权完全属于乙方且无任何抵押、查封等产权瑕疵。如有产权瑕疵的，视为乙方违约。乙方应负担由此而产生的一切损失。</w:t>
      </w:r>
    </w:p>
    <w:p w14:paraId="26440B98">
      <w:pPr>
        <w:spacing w:line="360" w:lineRule="auto"/>
        <w:ind w:left="426"/>
        <w:rPr>
          <w:b/>
          <w:sz w:val="24"/>
        </w:rPr>
      </w:pPr>
      <w:r>
        <w:rPr>
          <w:rFonts w:hint="eastAsia"/>
          <w:b/>
          <w:sz w:val="24"/>
        </w:rPr>
        <w:t xml:space="preserve">第七条   </w:t>
      </w:r>
      <w:r>
        <w:rPr>
          <w:b/>
          <w:sz w:val="24"/>
        </w:rPr>
        <w:t>履约保证金</w:t>
      </w:r>
    </w:p>
    <w:p w14:paraId="0EAE1AC3">
      <w:pPr>
        <w:adjustRightInd w:val="0"/>
        <w:spacing w:line="360" w:lineRule="auto"/>
        <w:ind w:firstLine="480" w:firstLineChars="200"/>
        <w:jc w:val="left"/>
        <w:textAlignment w:val="baseline"/>
        <w:rPr>
          <w:bCs/>
          <w:sz w:val="24"/>
        </w:rPr>
      </w:pPr>
      <w:r>
        <w:rPr>
          <w:bCs/>
          <w:sz w:val="24"/>
        </w:rPr>
        <w:t>1、</w:t>
      </w:r>
      <w:r>
        <w:rPr>
          <w:rFonts w:hint="eastAsia"/>
          <w:bCs/>
          <w:sz w:val="24"/>
        </w:rPr>
        <w:t>合同签订前，</w:t>
      </w:r>
      <w:r>
        <w:rPr>
          <w:bCs/>
          <w:sz w:val="24"/>
        </w:rPr>
        <w:t>乙方</w:t>
      </w:r>
      <w:r>
        <w:rPr>
          <w:rFonts w:hint="eastAsia"/>
          <w:bCs/>
          <w:sz w:val="24"/>
        </w:rPr>
        <w:t>应向甲方</w:t>
      </w:r>
      <w:r>
        <w:rPr>
          <w:bCs/>
          <w:sz w:val="24"/>
        </w:rPr>
        <w:t>交纳</w:t>
      </w:r>
      <w:r>
        <w:rPr>
          <w:bCs/>
          <w:sz w:val="24"/>
          <w:u w:val="single"/>
        </w:rPr>
        <w:t>合同金额的</w:t>
      </w:r>
      <w:r>
        <w:rPr>
          <w:rFonts w:hint="eastAsia"/>
          <w:bCs/>
          <w:sz w:val="24"/>
          <w:u w:val="single"/>
        </w:rPr>
        <w:t>10</w:t>
      </w:r>
      <w:r>
        <w:rPr>
          <w:bCs/>
          <w:sz w:val="24"/>
          <w:u w:val="single"/>
        </w:rPr>
        <w:t>%</w:t>
      </w:r>
      <w:r>
        <w:rPr>
          <w:bCs/>
          <w:sz w:val="24"/>
        </w:rPr>
        <w:t>作为本合同的履约保证金。</w:t>
      </w:r>
    </w:p>
    <w:p w14:paraId="0C968A2C">
      <w:pPr>
        <w:adjustRightInd w:val="0"/>
        <w:spacing w:line="360" w:lineRule="auto"/>
        <w:ind w:firstLine="480" w:firstLineChars="200"/>
        <w:jc w:val="left"/>
        <w:textAlignment w:val="baseline"/>
        <w:rPr>
          <w:bCs/>
          <w:sz w:val="24"/>
        </w:rPr>
      </w:pPr>
      <w:r>
        <w:rPr>
          <w:bCs/>
          <w:sz w:val="24"/>
        </w:rPr>
        <w:t>2、履约保证金作为违约金的一部分用于补偿甲方因乙方不能履行合同义务而蒙受的损失。</w:t>
      </w:r>
    </w:p>
    <w:p w14:paraId="2B57586B">
      <w:pPr>
        <w:adjustRightInd w:val="0"/>
        <w:spacing w:line="360" w:lineRule="auto"/>
        <w:ind w:firstLine="480" w:firstLineChars="200"/>
        <w:jc w:val="left"/>
        <w:textAlignment w:val="baseline"/>
        <w:rPr>
          <w:bCs/>
          <w:sz w:val="24"/>
        </w:rPr>
      </w:pPr>
      <w:r>
        <w:rPr>
          <w:bCs/>
          <w:sz w:val="24"/>
        </w:rPr>
        <w:t>3、</w:t>
      </w:r>
      <w:r>
        <w:rPr>
          <w:rFonts w:hint="eastAsia"/>
          <w:bCs/>
          <w:sz w:val="24"/>
        </w:rPr>
        <w:t>乙方按相关要求、规定完成全部行洪论证报告编制，通过评审并取得批复文件后，到甲方财务部办理履约保证金退款手续（办理退款手续时，乙方需开具收据）。</w:t>
      </w:r>
      <w:r>
        <w:rPr>
          <w:bCs/>
          <w:sz w:val="24"/>
        </w:rPr>
        <w:t>甲方财务部核实无误，扣除乙方应承担的违约金或赔偿金（如有）后将剩余履约保证金无息退还乙方。</w:t>
      </w:r>
    </w:p>
    <w:p w14:paraId="283D1793">
      <w:pPr>
        <w:spacing w:line="360" w:lineRule="auto"/>
        <w:ind w:left="426"/>
        <w:rPr>
          <w:b/>
          <w:sz w:val="24"/>
        </w:rPr>
      </w:pPr>
      <w:r>
        <w:rPr>
          <w:rFonts w:hint="eastAsia"/>
          <w:b/>
          <w:sz w:val="24"/>
        </w:rPr>
        <w:t xml:space="preserve">第八条  </w:t>
      </w:r>
      <w:r>
        <w:rPr>
          <w:b/>
          <w:sz w:val="24"/>
        </w:rPr>
        <w:t>甲方的权利和义务</w:t>
      </w:r>
    </w:p>
    <w:p w14:paraId="3ABDEDE5">
      <w:pPr>
        <w:adjustRightInd w:val="0"/>
        <w:spacing w:line="360" w:lineRule="auto"/>
        <w:ind w:firstLine="480" w:firstLineChars="200"/>
        <w:jc w:val="left"/>
        <w:textAlignment w:val="baseline"/>
        <w:rPr>
          <w:bCs/>
          <w:sz w:val="24"/>
        </w:rPr>
      </w:pPr>
      <w:r>
        <w:rPr>
          <w:bCs/>
          <w:sz w:val="24"/>
        </w:rPr>
        <w:t>1、甲方有权对合同规定范围内乙方的服务行为进行监督和检查，拥有监管权。有权定期核对乙方提供服务所配备的人员数量。对甲方认为不合理的部分有权下达整改通知书，并要求乙方限期整改。乙方无合理理由拒不整改的，甲方有权解除</w:t>
      </w:r>
      <w:r>
        <w:rPr>
          <w:rFonts w:hint="eastAsia"/>
          <w:bCs/>
          <w:sz w:val="24"/>
        </w:rPr>
        <w:t>本合同，要求乙方退还已经支付的全部合同款项，并赔偿由此对甲方造成的全部损失。</w:t>
      </w:r>
    </w:p>
    <w:p w14:paraId="75334DE6">
      <w:pPr>
        <w:adjustRightInd w:val="0"/>
        <w:spacing w:line="360" w:lineRule="auto"/>
        <w:ind w:firstLine="480" w:firstLineChars="200"/>
        <w:jc w:val="left"/>
        <w:textAlignment w:val="baseline"/>
        <w:rPr>
          <w:bCs/>
          <w:sz w:val="24"/>
        </w:rPr>
      </w:pPr>
      <w:r>
        <w:rPr>
          <w:bCs/>
          <w:sz w:val="24"/>
        </w:rPr>
        <w:t>2、乙方未按要求履约的，甲方有权扣除履约保证金。</w:t>
      </w:r>
    </w:p>
    <w:p w14:paraId="689F7DC8">
      <w:pPr>
        <w:adjustRightInd w:val="0"/>
        <w:spacing w:line="360" w:lineRule="auto"/>
        <w:ind w:firstLine="480" w:firstLineChars="200"/>
        <w:jc w:val="left"/>
        <w:textAlignment w:val="baseline"/>
        <w:rPr>
          <w:bCs/>
          <w:sz w:val="24"/>
        </w:rPr>
      </w:pPr>
      <w:r>
        <w:rPr>
          <w:bCs/>
          <w:sz w:val="24"/>
        </w:rPr>
        <w:t>3、负责检查监督乙方管理工作的实施及制度的执行情况。</w:t>
      </w:r>
    </w:p>
    <w:p w14:paraId="119598DC">
      <w:pPr>
        <w:adjustRightInd w:val="0"/>
        <w:spacing w:line="360" w:lineRule="auto"/>
        <w:ind w:firstLine="480" w:firstLineChars="200"/>
        <w:jc w:val="left"/>
        <w:textAlignment w:val="baseline"/>
        <w:rPr>
          <w:bCs/>
          <w:sz w:val="24"/>
        </w:rPr>
      </w:pPr>
      <w:r>
        <w:rPr>
          <w:bCs/>
          <w:sz w:val="24"/>
        </w:rPr>
        <w:t>4、根据本合同规定，按时向乙方支付应付服务费用。</w:t>
      </w:r>
    </w:p>
    <w:p w14:paraId="5FC3E91D">
      <w:pPr>
        <w:adjustRightInd w:val="0"/>
        <w:spacing w:line="360" w:lineRule="auto"/>
        <w:ind w:firstLine="480" w:firstLineChars="200"/>
        <w:jc w:val="left"/>
        <w:textAlignment w:val="baseline"/>
        <w:rPr>
          <w:bCs/>
          <w:sz w:val="24"/>
        </w:rPr>
      </w:pPr>
      <w:r>
        <w:rPr>
          <w:bCs/>
          <w:sz w:val="24"/>
        </w:rPr>
        <w:t>5、国家法律、法规所规定由甲方承担的其它责任。</w:t>
      </w:r>
    </w:p>
    <w:p w14:paraId="6BA4C706">
      <w:pPr>
        <w:spacing w:line="360" w:lineRule="auto"/>
        <w:ind w:left="426"/>
        <w:rPr>
          <w:b/>
          <w:sz w:val="24"/>
        </w:rPr>
      </w:pPr>
      <w:r>
        <w:rPr>
          <w:rFonts w:hint="eastAsia"/>
          <w:b/>
          <w:sz w:val="24"/>
        </w:rPr>
        <w:t xml:space="preserve">第九条  </w:t>
      </w:r>
      <w:r>
        <w:rPr>
          <w:b/>
          <w:sz w:val="24"/>
        </w:rPr>
        <w:t>乙方的权利和义务</w:t>
      </w:r>
    </w:p>
    <w:p w14:paraId="0A108322">
      <w:pPr>
        <w:adjustRightInd w:val="0"/>
        <w:spacing w:line="360" w:lineRule="auto"/>
        <w:ind w:firstLine="480" w:firstLineChars="200"/>
        <w:jc w:val="left"/>
        <w:textAlignment w:val="baseline"/>
        <w:rPr>
          <w:bCs/>
          <w:sz w:val="24"/>
        </w:rPr>
      </w:pPr>
      <w:r>
        <w:rPr>
          <w:bCs/>
          <w:sz w:val="24"/>
        </w:rPr>
        <w:t>1、对本合同规定的委托服务范围内的项目享有管理权及服务义务。</w:t>
      </w:r>
    </w:p>
    <w:p w14:paraId="69D65D30">
      <w:pPr>
        <w:adjustRightInd w:val="0"/>
        <w:spacing w:line="360" w:lineRule="auto"/>
        <w:ind w:firstLine="480" w:firstLineChars="200"/>
        <w:jc w:val="left"/>
        <w:textAlignment w:val="baseline"/>
        <w:rPr>
          <w:bCs/>
          <w:sz w:val="24"/>
        </w:rPr>
      </w:pPr>
      <w:r>
        <w:rPr>
          <w:bCs/>
          <w:sz w:val="24"/>
        </w:rPr>
        <w:t>2、根据本合同的规定向甲方收取相关服务费用，并有权在本项目管理范围内管理及合理使用。</w:t>
      </w:r>
    </w:p>
    <w:p w14:paraId="1A1964CC">
      <w:pPr>
        <w:adjustRightInd w:val="0"/>
        <w:spacing w:line="360" w:lineRule="auto"/>
        <w:ind w:firstLine="480" w:firstLineChars="200"/>
        <w:jc w:val="left"/>
        <w:textAlignment w:val="baseline"/>
        <w:rPr>
          <w:sz w:val="24"/>
        </w:rPr>
      </w:pPr>
      <w:r>
        <w:rPr>
          <w:sz w:val="24"/>
        </w:rPr>
        <w:t>3、及时向甲方通告本项目服务范围内有关服务的重大事项，及时配合处理投诉。</w:t>
      </w:r>
    </w:p>
    <w:p w14:paraId="27C28B1D">
      <w:pPr>
        <w:adjustRightInd w:val="0"/>
        <w:spacing w:line="360" w:lineRule="auto"/>
        <w:ind w:firstLine="480" w:firstLineChars="200"/>
        <w:jc w:val="left"/>
        <w:textAlignment w:val="baseline"/>
        <w:rPr>
          <w:bCs/>
          <w:sz w:val="24"/>
        </w:rPr>
      </w:pPr>
      <w:r>
        <w:rPr>
          <w:sz w:val="24"/>
        </w:rPr>
        <w:t>4、</w:t>
      </w:r>
      <w:r>
        <w:rPr>
          <w:bCs/>
          <w:sz w:val="24"/>
        </w:rPr>
        <w:t>接受项目行业管理部门及政府有关部门的指导，接受甲方的监督。</w:t>
      </w:r>
    </w:p>
    <w:p w14:paraId="53843F8F">
      <w:pPr>
        <w:adjustRightInd w:val="0"/>
        <w:spacing w:line="360" w:lineRule="auto"/>
        <w:ind w:firstLine="480" w:firstLineChars="200"/>
        <w:jc w:val="left"/>
        <w:textAlignment w:val="baseline"/>
        <w:rPr>
          <w:bCs/>
          <w:sz w:val="24"/>
        </w:rPr>
      </w:pPr>
      <w:r>
        <w:rPr>
          <w:bCs/>
          <w:sz w:val="24"/>
        </w:rPr>
        <w:t>5、国家法律、法规所规定由乙方承担的其它责任。</w:t>
      </w:r>
    </w:p>
    <w:p w14:paraId="32D1E175">
      <w:pPr>
        <w:spacing w:line="360" w:lineRule="auto"/>
        <w:ind w:left="426"/>
        <w:rPr>
          <w:b/>
          <w:sz w:val="24"/>
        </w:rPr>
      </w:pPr>
      <w:r>
        <w:rPr>
          <w:rFonts w:hint="eastAsia"/>
          <w:b/>
          <w:sz w:val="24"/>
        </w:rPr>
        <w:t xml:space="preserve">第十条  </w:t>
      </w:r>
      <w:r>
        <w:rPr>
          <w:b/>
          <w:sz w:val="24"/>
        </w:rPr>
        <w:t>违约责任</w:t>
      </w:r>
    </w:p>
    <w:p w14:paraId="5E7A1E3B">
      <w:pPr>
        <w:adjustRightInd w:val="0"/>
        <w:spacing w:line="360" w:lineRule="auto"/>
        <w:ind w:firstLine="480" w:firstLineChars="200"/>
        <w:jc w:val="left"/>
        <w:textAlignment w:val="baseline"/>
        <w:rPr>
          <w:bCs/>
          <w:sz w:val="24"/>
        </w:rPr>
      </w:pPr>
      <w:r>
        <w:rPr>
          <w:bCs/>
          <w:sz w:val="24"/>
        </w:rPr>
        <w:t>1、甲乙双方必须遵守本合同并执行合同中的各项规定，保证本合同的正常履行。</w:t>
      </w:r>
    </w:p>
    <w:p w14:paraId="6BA19875">
      <w:pPr>
        <w:adjustRightInd w:val="0"/>
        <w:spacing w:line="360" w:lineRule="auto"/>
        <w:ind w:firstLine="480" w:firstLineChars="200"/>
        <w:jc w:val="left"/>
        <w:textAlignment w:val="baseline"/>
        <w:rPr>
          <w:bCs/>
          <w:sz w:val="24"/>
        </w:rPr>
      </w:pPr>
      <w:r>
        <w:rPr>
          <w:bCs/>
          <w:sz w:val="24"/>
        </w:rPr>
        <w:t>2、乙方应严格按照本合同约定的工作完成期限执行，否则，每逾期一日，乙方应按本合同金额的万分之五向甲方支付违约金，逾期超过15日的，甲方有权解除</w:t>
      </w:r>
      <w:r>
        <w:rPr>
          <w:rFonts w:hint="eastAsia"/>
          <w:bCs/>
          <w:sz w:val="24"/>
        </w:rPr>
        <w:t>本合同，要求乙方退还已经支付的全部合同款项，并赔偿由此对甲方造成的全部损失。</w:t>
      </w:r>
    </w:p>
    <w:p w14:paraId="3EAB6617">
      <w:pPr>
        <w:adjustRightInd w:val="0"/>
        <w:spacing w:line="360" w:lineRule="auto"/>
        <w:ind w:firstLine="480" w:firstLineChars="200"/>
        <w:jc w:val="left"/>
        <w:textAlignment w:val="baseline"/>
        <w:rPr>
          <w:bCs/>
          <w:sz w:val="24"/>
        </w:rPr>
      </w:pPr>
      <w:r>
        <w:rPr>
          <w:bCs/>
          <w:sz w:val="24"/>
        </w:rPr>
        <w:t>3</w:t>
      </w:r>
      <w:r>
        <w:rPr>
          <w:rFonts w:hint="eastAsia"/>
          <w:bCs/>
          <w:sz w:val="24"/>
        </w:rPr>
        <w:t>、</w:t>
      </w:r>
      <w:r>
        <w:rPr>
          <w:bCs/>
          <w:sz w:val="24"/>
        </w:rPr>
        <w:t>如因乙方工作人员在履行职务过程中的疏忽、失职、过错等故意或者过失原因给甲方造成损失或侵害，包括但不限于甲方本身的财产损失、由此而导致的甲方对任何第三方的法律责任等，乙方对此均应承担全部的赔偿责任。</w:t>
      </w:r>
    </w:p>
    <w:p w14:paraId="7562CFC8">
      <w:pPr>
        <w:adjustRightInd w:val="0"/>
        <w:spacing w:line="360" w:lineRule="auto"/>
        <w:ind w:firstLine="480" w:firstLineChars="200"/>
        <w:jc w:val="left"/>
        <w:textAlignment w:val="baseline"/>
        <w:rPr>
          <w:bCs/>
          <w:sz w:val="24"/>
        </w:rPr>
      </w:pPr>
      <w:r>
        <w:rPr>
          <w:rFonts w:hint="eastAsia"/>
          <w:bCs/>
          <w:sz w:val="24"/>
        </w:rPr>
        <w:t>4、乙方履行合同不符合合同约定，经甲方发出书面整改意见后仍不整改的，甲方有权解除合同。</w:t>
      </w:r>
    </w:p>
    <w:p w14:paraId="75C0A4AA">
      <w:pPr>
        <w:adjustRightInd w:val="0"/>
        <w:spacing w:line="360" w:lineRule="auto"/>
        <w:ind w:firstLine="480" w:firstLineChars="200"/>
        <w:jc w:val="left"/>
        <w:textAlignment w:val="baseline"/>
        <w:rPr>
          <w:bCs/>
          <w:sz w:val="24"/>
        </w:rPr>
      </w:pPr>
      <w:r>
        <w:rPr>
          <w:rFonts w:hint="eastAsia"/>
          <w:bCs/>
          <w:sz w:val="24"/>
        </w:rPr>
        <w:t>5、因乙方原因导致合同解除的，甲方不予退还此前乙方缴纳的履约保证金，且乙方承担合同总金额20%的违约金</w:t>
      </w:r>
      <w:r>
        <w:rPr>
          <w:rFonts w:hint="eastAsia"/>
          <w:bCs/>
          <w:sz w:val="24"/>
          <w:lang w:eastAsia="zh-CN"/>
        </w:rPr>
        <w:t>；</w:t>
      </w:r>
      <w:r>
        <w:rPr>
          <w:rFonts w:hint="eastAsia"/>
          <w:bCs/>
          <w:sz w:val="24"/>
          <w:lang w:val="en-US" w:eastAsia="zh-CN"/>
        </w:rPr>
        <w:t>造成甲方损失的还应承担甲方全部损失，甲方损失包括但不限于甲方为主张权利产生的诉讼费、保全费、保全保险费】差旅费、律师费、公证费等全部费用</w:t>
      </w:r>
      <w:r>
        <w:rPr>
          <w:rFonts w:hint="eastAsia"/>
          <w:bCs/>
          <w:sz w:val="24"/>
        </w:rPr>
        <w:t>。</w:t>
      </w:r>
    </w:p>
    <w:p w14:paraId="0409E161">
      <w:pPr>
        <w:adjustRightInd w:val="0"/>
        <w:spacing w:line="360" w:lineRule="auto"/>
        <w:ind w:firstLine="480" w:firstLineChars="200"/>
        <w:jc w:val="left"/>
        <w:textAlignment w:val="baseline"/>
        <w:rPr>
          <w:bCs/>
          <w:sz w:val="24"/>
        </w:rPr>
      </w:pPr>
      <w:r>
        <w:rPr>
          <w:rFonts w:hint="eastAsia"/>
          <w:bCs/>
          <w:sz w:val="24"/>
        </w:rPr>
        <w:t>6、合同所约定违约金，均是考虑了商誉、社会影响、时间成本、机会成本、处理违约事件所耗费资源（人力、财力）等综合抽象要素所造成的损失的。该等损失的抽象性虽难以精确量化，但各方诚信认可其在商业交易中确实存在，为避免届时难以精确衡量，故在此事先约定以违约金方式，尽量弥补损失，同时主合同所约定的违约金具有惩罚性违约金性质。在充分理解和认可上述原则的基础上，双方在违约情况发生后，相对方向违约方主张违约责任时，双方均不再以“违约金过分高于/低于损失”等为由作为抗辩要求调低或调高违约金，收取违约金的一方亦无需举证具体损失。</w:t>
      </w:r>
    </w:p>
    <w:p w14:paraId="5AEF0F19">
      <w:pPr>
        <w:spacing w:line="360" w:lineRule="auto"/>
        <w:ind w:left="426"/>
        <w:rPr>
          <w:b/>
          <w:sz w:val="24"/>
        </w:rPr>
      </w:pPr>
      <w:r>
        <w:rPr>
          <w:rFonts w:hint="eastAsia"/>
          <w:b/>
          <w:sz w:val="24"/>
        </w:rPr>
        <w:t xml:space="preserve">第十一条  </w:t>
      </w:r>
      <w:r>
        <w:rPr>
          <w:b/>
          <w:sz w:val="24"/>
        </w:rPr>
        <w:t>不可抗力事件处理</w:t>
      </w:r>
    </w:p>
    <w:p w14:paraId="686A007F">
      <w:pPr>
        <w:tabs>
          <w:tab w:val="left" w:pos="0"/>
        </w:tabs>
        <w:spacing w:line="360" w:lineRule="auto"/>
        <w:ind w:firstLine="480" w:firstLineChars="200"/>
        <w:rPr>
          <w:sz w:val="24"/>
        </w:rPr>
      </w:pPr>
      <w:r>
        <w:rPr>
          <w:sz w:val="24"/>
        </w:rPr>
        <w:t>1、在合同有效期内，任何一方因不可抗力事件导致不能履行合同，则合同履行期可延长，其延长期与不可抗力影响期相同。</w:t>
      </w:r>
    </w:p>
    <w:p w14:paraId="10566D59">
      <w:pPr>
        <w:tabs>
          <w:tab w:val="left" w:pos="0"/>
        </w:tabs>
        <w:spacing w:line="360" w:lineRule="auto"/>
        <w:ind w:firstLine="480" w:firstLineChars="200"/>
        <w:rPr>
          <w:sz w:val="24"/>
        </w:rPr>
      </w:pPr>
      <w:r>
        <w:rPr>
          <w:sz w:val="24"/>
        </w:rPr>
        <w:t>2、不可抗力事件发生后，应立即通知对方，并寄送有关权威机构出具的证明。</w:t>
      </w:r>
    </w:p>
    <w:p w14:paraId="7EFB2F93">
      <w:pPr>
        <w:tabs>
          <w:tab w:val="left" w:pos="0"/>
        </w:tabs>
        <w:spacing w:line="360" w:lineRule="auto"/>
        <w:ind w:firstLine="480" w:firstLineChars="200"/>
        <w:rPr>
          <w:sz w:val="24"/>
        </w:rPr>
      </w:pPr>
      <w:r>
        <w:rPr>
          <w:sz w:val="24"/>
        </w:rPr>
        <w:t>3、不可抗力事件延续七天以上，双方应通过友好协商，确定是否继续履行合同。</w:t>
      </w:r>
    </w:p>
    <w:p w14:paraId="1BED2E3A">
      <w:pPr>
        <w:spacing w:line="360" w:lineRule="auto"/>
        <w:ind w:left="426"/>
        <w:rPr>
          <w:b/>
          <w:sz w:val="24"/>
        </w:rPr>
      </w:pPr>
      <w:bookmarkStart w:id="0" w:name="_Toc237145411"/>
      <w:bookmarkStart w:id="1" w:name="_Toc241833908"/>
      <w:bookmarkStart w:id="2" w:name="_Toc239233919"/>
      <w:bookmarkStart w:id="3" w:name="_Toc225670756"/>
      <w:bookmarkStart w:id="4" w:name="_Toc211911353"/>
      <w:bookmarkStart w:id="5" w:name="_Toc239568423"/>
      <w:bookmarkStart w:id="6" w:name="_Toc286993792"/>
      <w:bookmarkStart w:id="7" w:name="_Toc185395254"/>
      <w:bookmarkStart w:id="8" w:name="_Toc238984980"/>
      <w:bookmarkStart w:id="9" w:name="_Toc251768867"/>
      <w:bookmarkStart w:id="10" w:name="_Toc212019599"/>
      <w:bookmarkStart w:id="11" w:name="_Toc225654649"/>
      <w:bookmarkStart w:id="12" w:name="_Toc247334846"/>
      <w:bookmarkStart w:id="13" w:name="_Toc211854454"/>
      <w:bookmarkStart w:id="14" w:name="_Toc232492933"/>
      <w:bookmarkStart w:id="15" w:name="_Toc225244857"/>
      <w:r>
        <w:rPr>
          <w:rFonts w:hint="eastAsia"/>
          <w:b/>
          <w:sz w:val="24"/>
        </w:rPr>
        <w:t xml:space="preserve">第十二条  </w:t>
      </w:r>
      <w:r>
        <w:rPr>
          <w:b/>
          <w:sz w:val="24"/>
        </w:rPr>
        <w:t>解决合同纠纷的方式</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3E2CFD51">
      <w:pPr>
        <w:tabs>
          <w:tab w:val="left" w:pos="0"/>
        </w:tabs>
        <w:spacing w:line="360" w:lineRule="auto"/>
        <w:ind w:firstLine="480" w:firstLineChars="200"/>
        <w:rPr>
          <w:sz w:val="24"/>
        </w:rPr>
      </w:pPr>
      <w:r>
        <w:rPr>
          <w:sz w:val="24"/>
        </w:rPr>
        <w:t>1、在执行本合同中发生的或与本合同有关的争端，双方应通过友好协商解决，经协商在</w:t>
      </w:r>
      <w:r>
        <w:rPr>
          <w:sz w:val="24"/>
          <w:u w:val="single"/>
        </w:rPr>
        <w:t>15</w:t>
      </w:r>
      <w:r>
        <w:rPr>
          <w:sz w:val="24"/>
        </w:rPr>
        <w:t>天内不能达成协议时，</w:t>
      </w:r>
      <w:r>
        <w:rPr>
          <w:rFonts w:hint="eastAsia"/>
          <w:sz w:val="24"/>
        </w:rPr>
        <w:t>可向甲方所在地人民法院起诉</w:t>
      </w:r>
      <w:r>
        <w:rPr>
          <w:sz w:val="24"/>
        </w:rPr>
        <w:t>。</w:t>
      </w:r>
    </w:p>
    <w:p w14:paraId="0AF09CCA">
      <w:pPr>
        <w:tabs>
          <w:tab w:val="left" w:pos="0"/>
        </w:tabs>
        <w:spacing w:line="360" w:lineRule="auto"/>
        <w:ind w:firstLine="480" w:firstLineChars="200"/>
        <w:rPr>
          <w:sz w:val="24"/>
        </w:rPr>
      </w:pPr>
      <w:r>
        <w:rPr>
          <w:rFonts w:hint="eastAsia"/>
          <w:sz w:val="24"/>
          <w:lang w:val="en-US" w:eastAsia="zh-CN"/>
        </w:rPr>
        <w:t>2</w:t>
      </w:r>
      <w:r>
        <w:rPr>
          <w:sz w:val="24"/>
        </w:rPr>
        <w:t>、在</w:t>
      </w:r>
      <w:r>
        <w:rPr>
          <w:rFonts w:hint="eastAsia"/>
          <w:sz w:val="24"/>
          <w:lang w:val="en-US" w:eastAsia="zh-CN"/>
        </w:rPr>
        <w:t>起诉</w:t>
      </w:r>
      <w:r>
        <w:rPr>
          <w:sz w:val="24"/>
        </w:rPr>
        <w:t>期间，除正在进行</w:t>
      </w:r>
      <w:r>
        <w:rPr>
          <w:rFonts w:hint="eastAsia"/>
          <w:sz w:val="24"/>
          <w:lang w:val="en-US" w:eastAsia="zh-CN"/>
        </w:rPr>
        <w:t>起诉</w:t>
      </w:r>
      <w:r>
        <w:rPr>
          <w:sz w:val="24"/>
        </w:rPr>
        <w:t>部分外，合同其他部分继续执行。</w:t>
      </w:r>
    </w:p>
    <w:p w14:paraId="2667E502">
      <w:pPr>
        <w:spacing w:line="360" w:lineRule="auto"/>
        <w:ind w:left="426"/>
        <w:rPr>
          <w:sz w:val="24"/>
        </w:rPr>
      </w:pPr>
      <w:bookmarkStart w:id="16" w:name="_Toc286993793"/>
      <w:bookmarkStart w:id="17" w:name="_Toc239233920"/>
      <w:bookmarkStart w:id="18" w:name="_Toc237145412"/>
      <w:bookmarkStart w:id="19" w:name="_Toc251768868"/>
      <w:bookmarkStart w:id="20" w:name="_Toc232492934"/>
      <w:bookmarkStart w:id="21" w:name="_Toc211854455"/>
      <w:bookmarkStart w:id="22" w:name="_Toc185395255"/>
      <w:bookmarkStart w:id="23" w:name="_Toc283019219"/>
      <w:bookmarkStart w:id="24" w:name="_Toc241833909"/>
      <w:bookmarkStart w:id="25" w:name="_Toc225654650"/>
      <w:bookmarkStart w:id="26" w:name="_Toc212019600"/>
      <w:bookmarkStart w:id="27" w:name="_Toc211911354"/>
      <w:bookmarkStart w:id="28" w:name="_Toc239568424"/>
      <w:bookmarkStart w:id="29" w:name="_Toc225244858"/>
      <w:bookmarkStart w:id="30" w:name="_Toc238984981"/>
      <w:bookmarkStart w:id="31" w:name="_Toc282696231"/>
      <w:bookmarkStart w:id="32" w:name="_Toc247334847"/>
      <w:bookmarkStart w:id="33" w:name="_Toc225670757"/>
      <w:r>
        <w:rPr>
          <w:rFonts w:hint="eastAsia"/>
          <w:b/>
          <w:sz w:val="24"/>
        </w:rPr>
        <w:t xml:space="preserve">第十三条  </w:t>
      </w:r>
      <w:r>
        <w:rPr>
          <w:b/>
          <w:sz w:val="24"/>
        </w:rPr>
        <w:t>合同</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r>
        <w:rPr>
          <w:b/>
          <w:sz w:val="24"/>
        </w:rPr>
        <w:t>生效及其他</w:t>
      </w:r>
    </w:p>
    <w:p w14:paraId="687255E1">
      <w:pPr>
        <w:spacing w:line="360" w:lineRule="auto"/>
        <w:ind w:firstLine="420" w:firstLineChars="175"/>
        <w:rPr>
          <w:sz w:val="24"/>
        </w:rPr>
      </w:pPr>
      <w:r>
        <w:rPr>
          <w:rFonts w:hint="eastAsia"/>
          <w:sz w:val="24"/>
          <w:lang w:val="en-US" w:eastAsia="zh-CN"/>
        </w:rPr>
        <w:t>1</w:t>
      </w:r>
      <w:r>
        <w:rPr>
          <w:rFonts w:hint="eastAsia"/>
          <w:sz w:val="24"/>
        </w:rPr>
        <w:t>、合同执行中涉及采购资金和采购内容修改或补充的，由甲乙双方协商，并签订书面补充协议，方可作为主合同不可分割的一部分，与本合同具有同等法律效力。</w:t>
      </w:r>
    </w:p>
    <w:p w14:paraId="4D0FD931">
      <w:pPr>
        <w:spacing w:line="360" w:lineRule="auto"/>
        <w:ind w:firstLine="420" w:firstLineChars="175"/>
        <w:rPr>
          <w:sz w:val="24"/>
        </w:rPr>
      </w:pPr>
      <w:r>
        <w:rPr>
          <w:rFonts w:hint="eastAsia"/>
          <w:sz w:val="24"/>
          <w:lang w:val="en-US" w:eastAsia="zh-CN"/>
        </w:rPr>
        <w:t>2</w:t>
      </w:r>
      <w:r>
        <w:rPr>
          <w:rFonts w:hint="eastAsia"/>
          <w:sz w:val="24"/>
        </w:rPr>
        <w:t>、本合同一式</w:t>
      </w:r>
      <w:r>
        <w:rPr>
          <w:rFonts w:hint="eastAsia"/>
          <w:sz w:val="24"/>
          <w:lang w:eastAsia="zh-CN"/>
        </w:rPr>
        <w:t>肆</w:t>
      </w:r>
      <w:r>
        <w:rPr>
          <w:rFonts w:hint="eastAsia"/>
          <w:sz w:val="24"/>
        </w:rPr>
        <w:t>份，自双方盖章之日起生效。甲方肆份，乙方贰份，具有同等法律效力。</w:t>
      </w:r>
    </w:p>
    <w:p w14:paraId="645552C9">
      <w:pPr>
        <w:spacing w:line="360" w:lineRule="auto"/>
        <w:ind w:firstLine="420" w:firstLineChars="175"/>
        <w:rPr>
          <w:sz w:val="24"/>
        </w:rPr>
      </w:pPr>
      <w:r>
        <w:rPr>
          <w:rFonts w:hint="eastAsia"/>
          <w:sz w:val="24"/>
          <w:lang w:val="en-US" w:eastAsia="zh-CN"/>
        </w:rPr>
        <w:t>3</w:t>
      </w:r>
      <w:r>
        <w:rPr>
          <w:rFonts w:hint="eastAsia"/>
          <w:sz w:val="24"/>
        </w:rPr>
        <w:t>、询价文件、响应文件作为本合同的一部分，与本合同具有同等法律效力，与本合同不一致的，以本合同为准。</w:t>
      </w:r>
    </w:p>
    <w:p w14:paraId="42AA7631">
      <w:pPr>
        <w:spacing w:line="360" w:lineRule="auto"/>
        <w:ind w:firstLine="420" w:firstLineChars="175"/>
        <w:rPr>
          <w:sz w:val="24"/>
        </w:rPr>
      </w:pPr>
      <w:r>
        <w:rPr>
          <w:rFonts w:hint="eastAsia"/>
          <w:sz w:val="24"/>
          <w:lang w:val="en-US" w:eastAsia="zh-CN"/>
        </w:rPr>
        <w:t>4</w:t>
      </w:r>
      <w:r>
        <w:rPr>
          <w:rFonts w:hint="eastAsia"/>
          <w:sz w:val="24"/>
        </w:rPr>
        <w:t>、双方确认本合同标明的地址为本合同履行过程以及争议解决中的文书送达地址。合同履行和仲裁、执行以及其他法律程序所涉及之相关法律文件，以邮件快递寄送本合同记载的对方当事人住址即为送达。如果前述住址发生变更，应当以书面通知对方及案件受理机构方为有效。任何一方均应积极履行通知和被通知义务，不得以拒绝签收、无人签收或变更地址未通知等理由否认送达效力。</w:t>
      </w:r>
    </w:p>
    <w:p w14:paraId="538BED04">
      <w:pPr>
        <w:spacing w:line="360" w:lineRule="auto"/>
        <w:rPr>
          <w:sz w:val="24"/>
        </w:rPr>
      </w:pPr>
    </w:p>
    <w:p w14:paraId="3772D0C8">
      <w:pPr>
        <w:spacing w:line="360" w:lineRule="auto"/>
        <w:rPr>
          <w:rFonts w:hint="default"/>
          <w:sz w:val="24"/>
          <w:lang w:val="en-US" w:eastAsia="zh-CN"/>
        </w:rPr>
      </w:pPr>
      <w:r>
        <w:rPr>
          <w:sz w:val="24"/>
        </w:rPr>
        <w:t>甲方：</w:t>
      </w:r>
      <w:r>
        <w:rPr>
          <w:rFonts w:hint="eastAsia"/>
          <w:sz w:val="24"/>
        </w:rPr>
        <w:t>德阳高新</w:t>
      </w:r>
      <w:r>
        <w:rPr>
          <w:rFonts w:hint="eastAsia"/>
          <w:sz w:val="24"/>
          <w:lang w:val="en-US" w:eastAsia="zh-CN"/>
        </w:rPr>
        <w:t xml:space="preserve">国有资本             </w:t>
      </w:r>
      <w:r>
        <w:rPr>
          <w:sz w:val="24"/>
        </w:rPr>
        <w:t>乙方：</w:t>
      </w:r>
    </w:p>
    <w:p w14:paraId="1CFFBD61">
      <w:pPr>
        <w:spacing w:line="360" w:lineRule="auto"/>
        <w:rPr>
          <w:sz w:val="24"/>
        </w:rPr>
      </w:pPr>
      <w:r>
        <w:rPr>
          <w:rFonts w:hint="eastAsia"/>
          <w:sz w:val="24"/>
          <w:lang w:val="en-US" w:eastAsia="zh-CN"/>
        </w:rPr>
        <w:t>投资运行</w:t>
      </w:r>
      <w:r>
        <w:rPr>
          <w:rFonts w:hint="eastAsia"/>
          <w:sz w:val="24"/>
        </w:rPr>
        <w:t>有限公司</w:t>
      </w:r>
      <w:r>
        <w:rPr>
          <w:sz w:val="24"/>
        </w:rPr>
        <w:t>（盖章）</w:t>
      </w:r>
      <w:r>
        <w:rPr>
          <w:rFonts w:hint="eastAsia"/>
          <w:sz w:val="24"/>
        </w:rPr>
        <w:t xml:space="preserve">  </w:t>
      </w:r>
    </w:p>
    <w:p w14:paraId="1C4F7CAA">
      <w:pPr>
        <w:spacing w:line="360" w:lineRule="auto"/>
        <w:ind w:firstLine="6000" w:firstLineChars="2500"/>
        <w:rPr>
          <w:sz w:val="24"/>
        </w:rPr>
      </w:pPr>
    </w:p>
    <w:p w14:paraId="1FC7834C">
      <w:pPr>
        <w:spacing w:line="360" w:lineRule="auto"/>
        <w:rPr>
          <w:sz w:val="24"/>
        </w:rPr>
      </w:pPr>
      <w:r>
        <w:rPr>
          <w:sz w:val="24"/>
        </w:rPr>
        <w:t>法定代表人（授权代表）：             法定代表人（授权代表）：</w:t>
      </w:r>
    </w:p>
    <w:p w14:paraId="56A5E608">
      <w:pPr>
        <w:spacing w:line="360" w:lineRule="auto"/>
        <w:rPr>
          <w:sz w:val="24"/>
        </w:rPr>
      </w:pPr>
      <w:r>
        <w:rPr>
          <w:sz w:val="24"/>
        </w:rPr>
        <w:t xml:space="preserve">地    址：                         </w:t>
      </w:r>
      <w:r>
        <w:rPr>
          <w:rFonts w:hint="eastAsia"/>
          <w:sz w:val="24"/>
        </w:rPr>
        <w:t xml:space="preserve"> </w:t>
      </w:r>
      <w:r>
        <w:rPr>
          <w:sz w:val="24"/>
        </w:rPr>
        <w:t>地    址：</w:t>
      </w:r>
    </w:p>
    <w:p w14:paraId="6E52DCF9">
      <w:pPr>
        <w:spacing w:line="360" w:lineRule="auto"/>
        <w:ind w:left="6720" w:hanging="6720" w:hangingChars="2800"/>
        <w:rPr>
          <w:sz w:val="24"/>
        </w:rPr>
      </w:pPr>
      <w:r>
        <w:rPr>
          <w:sz w:val="24"/>
        </w:rPr>
        <w:t>开户银行：                          开户银行：</w:t>
      </w:r>
    </w:p>
    <w:p w14:paraId="12B3856A">
      <w:pPr>
        <w:spacing w:line="360" w:lineRule="auto"/>
        <w:rPr>
          <w:sz w:val="24"/>
        </w:rPr>
      </w:pPr>
      <w:r>
        <w:rPr>
          <w:sz w:val="24"/>
        </w:rPr>
        <w:t>账号：                              账号：</w:t>
      </w:r>
    </w:p>
    <w:p w14:paraId="681311E7">
      <w:pPr>
        <w:spacing w:line="360" w:lineRule="auto"/>
        <w:rPr>
          <w:sz w:val="24"/>
        </w:rPr>
      </w:pPr>
      <w:r>
        <w:rPr>
          <w:sz w:val="24"/>
        </w:rPr>
        <w:t>电    话：                          电    话：</w:t>
      </w:r>
    </w:p>
    <w:p w14:paraId="7C13272E">
      <w:pPr>
        <w:spacing w:line="360" w:lineRule="auto"/>
        <w:rPr>
          <w:sz w:val="24"/>
        </w:rPr>
      </w:pPr>
      <w:r>
        <w:rPr>
          <w:sz w:val="24"/>
        </w:rPr>
        <w:t>传    真：                          传    真：</w:t>
      </w:r>
    </w:p>
    <w:p w14:paraId="1AA8D6D0">
      <w:pPr>
        <w:spacing w:line="360" w:lineRule="auto"/>
        <w:rPr>
          <w:sz w:val="24"/>
        </w:rPr>
      </w:pPr>
      <w:r>
        <w:rPr>
          <w:sz w:val="24"/>
        </w:rPr>
        <w:t>签约日期：</w:t>
      </w:r>
      <w:r>
        <w:rPr>
          <w:rFonts w:hint="eastAsia"/>
          <w:sz w:val="24"/>
        </w:rPr>
        <w:t>202</w:t>
      </w:r>
      <w:r>
        <w:rPr>
          <w:rFonts w:hint="eastAsia"/>
          <w:sz w:val="24"/>
          <w:lang w:val="en-US" w:eastAsia="zh-CN"/>
        </w:rPr>
        <w:t>4</w:t>
      </w:r>
      <w:r>
        <w:rPr>
          <w:sz w:val="24"/>
        </w:rPr>
        <w:t>年</w:t>
      </w:r>
      <w:r>
        <w:rPr>
          <w:rFonts w:hint="eastAsia"/>
          <w:sz w:val="24"/>
        </w:rPr>
        <w:t xml:space="preserve">   </w:t>
      </w:r>
      <w:r>
        <w:rPr>
          <w:sz w:val="24"/>
        </w:rPr>
        <w:t>月</w:t>
      </w:r>
      <w:r>
        <w:rPr>
          <w:rFonts w:hint="eastAsia"/>
          <w:sz w:val="24"/>
        </w:rPr>
        <w:t xml:space="preserve">    </w:t>
      </w:r>
      <w:r>
        <w:rPr>
          <w:sz w:val="24"/>
        </w:rPr>
        <w:t xml:space="preserve">日 </w:t>
      </w:r>
      <w:r>
        <w:rPr>
          <w:sz w:val="24"/>
        </w:rPr>
        <w:tab/>
      </w:r>
      <w:r>
        <w:rPr>
          <w:sz w:val="24"/>
        </w:rPr>
        <w:t xml:space="preserve">     签约日期：</w:t>
      </w:r>
      <w:r>
        <w:rPr>
          <w:rFonts w:hint="eastAsia"/>
          <w:sz w:val="24"/>
        </w:rPr>
        <w:t>202</w:t>
      </w:r>
      <w:r>
        <w:rPr>
          <w:rFonts w:hint="eastAsia"/>
          <w:sz w:val="24"/>
          <w:lang w:val="en-US" w:eastAsia="zh-CN"/>
        </w:rPr>
        <w:t>4</w:t>
      </w:r>
      <w:r>
        <w:rPr>
          <w:sz w:val="24"/>
        </w:rPr>
        <w:t>年</w:t>
      </w:r>
      <w:r>
        <w:rPr>
          <w:rFonts w:hint="eastAsia"/>
          <w:sz w:val="24"/>
        </w:rPr>
        <w:t xml:space="preserve">   </w:t>
      </w:r>
      <w:r>
        <w:rPr>
          <w:sz w:val="24"/>
        </w:rPr>
        <w:t>月   日</w:t>
      </w:r>
    </w:p>
    <w:p w14:paraId="5A5A9614"/>
    <w:p w14:paraId="1E902F46"/>
    <w:sectPr>
      <w:footerReference r:id="rId3" w:type="default"/>
      <w:pgSz w:w="11850" w:h="16783"/>
      <w:pgMar w:top="1440" w:right="165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Stylus BT">
    <w:panose1 w:val="020E0402020206020304"/>
    <w:charset w:val="00"/>
    <w:family w:val="auto"/>
    <w:pitch w:val="default"/>
    <w:sig w:usb0="00000000" w:usb1="00000000" w:usb2="00000000" w:usb3="00000000" w:csb0="00000000" w:csb1="00000000"/>
  </w:font>
  <w:font w:name="华康简标题宋">
    <w:altName w:val="宋体"/>
    <w:panose1 w:val="00000000000000000000"/>
    <w:charset w:val="86"/>
    <w:family w:val="modern"/>
    <w:pitch w:val="default"/>
    <w:sig w:usb0="00000000" w:usb1="00000000" w:usb2="00000010" w:usb3="00000000" w:csb0="00040000" w:csb1="00000000"/>
  </w:font>
  <w:font w:name="汉鼎简黑变">
    <w:altName w:val="黑体"/>
    <w:panose1 w:val="00000000000000000000"/>
    <w:charset w:val="86"/>
    <w:family w:val="modern"/>
    <w:pitch w:val="default"/>
    <w:sig w:usb0="00000000" w:usb1="00000000" w:usb2="00000010" w:usb3="00000000" w:csb0="00040000" w:csb1="00000000"/>
  </w:font>
  <w:font w:name="汉鼎简特宋">
    <w:altName w:val="宋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简体">
    <w:panose1 w:val="02000000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DB1B23">
    <w:pPr>
      <w:pStyle w:val="4"/>
      <w:jc w:val="center"/>
      <w:rPr>
        <w:rFonts w:ascii="宋体" w:hAnsi="宋体"/>
        <w:sz w:val="28"/>
        <w:szCs w:val="28"/>
      </w:rP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18415" b="4445"/>
              <wp:wrapNone/>
              <wp:docPr id="3" name="文本框 3"/>
              <wp:cNvGraphicFramePr/>
              <a:graphic xmlns:a="http://schemas.openxmlformats.org/drawingml/2006/main">
                <a:graphicData uri="http://schemas.microsoft.com/office/word/2010/wordprocessingShape">
                  <wps:wsp>
                    <wps:cNvSpPr txBox="1">
                      <a:spLocks noChangeArrowheads="1"/>
                    </wps:cNvSpPr>
                    <wps:spPr>
                      <a:xfrm>
                        <a:off x="0" y="0"/>
                        <a:ext cx="1828800" cy="1828800"/>
                      </a:xfrm>
                      <a:prstGeom prst="rect">
                        <a:avLst/>
                      </a:prstGeom>
                      <a:noFill/>
                      <a:ln>
                        <a:noFill/>
                      </a:ln>
                    </wps:spPr>
                    <wps:txbx>
                      <w:txbxContent>
                        <w:p w14:paraId="65371E0E">
                          <w:pPr>
                            <w:pStyle w:val="4"/>
                            <w:jc w:val="center"/>
                            <w:rPr>
                              <w:szCs w:val="18"/>
                            </w:rPr>
                          </w:pPr>
                          <w:r>
                            <w:rPr>
                              <w:rFonts w:ascii="宋体" w:hAnsi="宋体"/>
                              <w:szCs w:val="18"/>
                            </w:rPr>
                            <w:fldChar w:fldCharType="begin"/>
                          </w:r>
                          <w:r>
                            <w:rPr>
                              <w:rFonts w:ascii="宋体" w:hAnsi="宋体"/>
                              <w:szCs w:val="18"/>
                            </w:rPr>
                            <w:instrText xml:space="preserve"> PAGE   \* MERGEFORMAT </w:instrText>
                          </w:r>
                          <w:r>
                            <w:rPr>
                              <w:rFonts w:ascii="宋体" w:hAnsi="宋体"/>
                              <w:szCs w:val="18"/>
                            </w:rPr>
                            <w:fldChar w:fldCharType="separate"/>
                          </w:r>
                          <w:r>
                            <w:rPr>
                              <w:rFonts w:ascii="宋体" w:hAnsi="宋体"/>
                              <w:szCs w:val="18"/>
                              <w:lang w:val="zh-CN"/>
                            </w:rPr>
                            <w:t>2</w:t>
                          </w:r>
                          <w:r>
                            <w:rPr>
                              <w:rFonts w:ascii="宋体" w:hAnsi="宋体"/>
                              <w:szCs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PYOWV3dAQAAvQMAAA4AAAAAAAAA&#10;AQAgAAAAHgEAAGRycy9lMm9Eb2MueG1sUEsFBgAAAAAGAAYAWQEAAG0FAAAAAA==&#10;">
              <v:fill on="f" focussize="0,0"/>
              <v:stroke on="f"/>
              <v:imagedata o:title=""/>
              <o:lock v:ext="edit" aspectratio="f"/>
              <v:textbox inset="0mm,0mm,0mm,0mm" style="mso-fit-shape-to-text:t;">
                <w:txbxContent>
                  <w:p w14:paraId="65371E0E">
                    <w:pPr>
                      <w:pStyle w:val="4"/>
                      <w:jc w:val="center"/>
                      <w:rPr>
                        <w:szCs w:val="18"/>
                      </w:rPr>
                    </w:pPr>
                    <w:r>
                      <w:rPr>
                        <w:rFonts w:ascii="宋体" w:hAnsi="宋体"/>
                        <w:szCs w:val="18"/>
                      </w:rPr>
                      <w:fldChar w:fldCharType="begin"/>
                    </w:r>
                    <w:r>
                      <w:rPr>
                        <w:rFonts w:ascii="宋体" w:hAnsi="宋体"/>
                        <w:szCs w:val="18"/>
                      </w:rPr>
                      <w:instrText xml:space="preserve"> PAGE   \* MERGEFORMAT </w:instrText>
                    </w:r>
                    <w:r>
                      <w:rPr>
                        <w:rFonts w:ascii="宋体" w:hAnsi="宋体"/>
                        <w:szCs w:val="18"/>
                      </w:rPr>
                      <w:fldChar w:fldCharType="separate"/>
                    </w:r>
                    <w:r>
                      <w:rPr>
                        <w:rFonts w:ascii="宋体" w:hAnsi="宋体"/>
                        <w:szCs w:val="18"/>
                        <w:lang w:val="zh-CN"/>
                      </w:rPr>
                      <w:t>2</w:t>
                    </w:r>
                    <w:r>
                      <w:rPr>
                        <w:rFonts w:ascii="宋体" w:hAnsi="宋体"/>
                        <w:szCs w:val="1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611A6"/>
    <w:multiLevelType w:val="singleLevel"/>
    <w:tmpl w:val="E8C611A6"/>
    <w:lvl w:ilvl="0" w:tentative="0">
      <w:start w:val="1"/>
      <w:numFmt w:val="chineseCounting"/>
      <w:suff w:val="space"/>
      <w:lvlText w:val="第%1条"/>
      <w:lvlJc w:val="left"/>
      <w:rPr>
        <w:rFonts w:hint="eastAsia"/>
      </w:rPr>
    </w:lvl>
  </w:abstractNum>
  <w:abstractNum w:abstractNumId="1">
    <w:nsid w:val="1D9C2199"/>
    <w:multiLevelType w:val="multilevel"/>
    <w:tmpl w:val="1D9C2199"/>
    <w:lvl w:ilvl="0" w:tentative="0">
      <w:start w:val="1"/>
      <w:numFmt w:val="chineseCountingThousand"/>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E5NGJmZDc3ZjA3YTAwYjE2ODUyNTg5NDBhNjNiNzYifQ=="/>
  </w:docVars>
  <w:rsids>
    <w:rsidRoot w:val="00434CBB"/>
    <w:rsid w:val="00366E4D"/>
    <w:rsid w:val="00431E25"/>
    <w:rsid w:val="00434CBB"/>
    <w:rsid w:val="004B6037"/>
    <w:rsid w:val="00864A07"/>
    <w:rsid w:val="0093070A"/>
    <w:rsid w:val="00E2547D"/>
    <w:rsid w:val="366D0463"/>
    <w:rsid w:val="38311782"/>
    <w:rsid w:val="3C6B52F7"/>
    <w:rsid w:val="42B87046"/>
    <w:rsid w:val="474B1DBC"/>
    <w:rsid w:val="4DC3586C"/>
    <w:rsid w:val="4E1A61E7"/>
    <w:rsid w:val="BDFD4D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uiPriority w:val="99"/>
    <w:pPr>
      <w:jc w:val="left"/>
    </w:pPr>
  </w:style>
  <w:style w:type="paragraph" w:styleId="3">
    <w:name w:val="Body Text"/>
    <w:basedOn w:val="1"/>
    <w:next w:val="1"/>
    <w:link w:val="9"/>
    <w:semiHidden/>
    <w:unhideWhenUsed/>
    <w:qFormat/>
    <w:uiPriority w:val="99"/>
    <w:pPr>
      <w:spacing w:after="120"/>
    </w:pPr>
  </w:style>
  <w:style w:type="paragraph" w:styleId="4">
    <w:name w:val="footer"/>
    <w:basedOn w:val="1"/>
    <w:link w:val="7"/>
    <w:qFormat/>
    <w:uiPriority w:val="99"/>
    <w:pPr>
      <w:tabs>
        <w:tab w:val="center" w:pos="4153"/>
        <w:tab w:val="right" w:pos="8306"/>
      </w:tabs>
      <w:snapToGrid w:val="0"/>
      <w:jc w:val="left"/>
    </w:pPr>
    <w:rPr>
      <w:sz w:val="18"/>
      <w:szCs w:val="20"/>
    </w:rPr>
  </w:style>
  <w:style w:type="character" w:customStyle="1" w:styleId="7">
    <w:name w:val="页脚 Char"/>
    <w:basedOn w:val="6"/>
    <w:link w:val="4"/>
    <w:qFormat/>
    <w:uiPriority w:val="99"/>
    <w:rPr>
      <w:rFonts w:ascii="Times New Roman" w:hAnsi="Times New Roman" w:eastAsia="宋体" w:cs="Times New Roman"/>
      <w:sz w:val="18"/>
      <w:szCs w:val="20"/>
    </w:rPr>
  </w:style>
  <w:style w:type="paragraph" w:customStyle="1" w:styleId="8">
    <w:name w:val="样式 首行缩进:  2 字符"/>
    <w:basedOn w:val="1"/>
    <w:qFormat/>
    <w:uiPriority w:val="0"/>
    <w:pPr>
      <w:spacing w:line="400" w:lineRule="exact"/>
      <w:ind w:firstLine="200" w:firstLineChars="200"/>
    </w:pPr>
    <w:rPr>
      <w:rFonts w:cs="宋体"/>
      <w:sz w:val="24"/>
    </w:rPr>
  </w:style>
  <w:style w:type="character" w:customStyle="1" w:styleId="9">
    <w:name w:val="正文文本 Char"/>
    <w:basedOn w:val="6"/>
    <w:link w:val="3"/>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3257</Words>
  <Characters>3291</Characters>
  <Lines>26</Lines>
  <Paragraphs>7</Paragraphs>
  <TotalTime>4</TotalTime>
  <ScaleCrop>false</ScaleCrop>
  <LinksUpToDate>false</LinksUpToDate>
  <CharactersWithSpaces>3649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2020-09-02T20:43:00Z</dcterms:created>
  <dc:creator>lee</dc:creator>
  <cp:lastModifiedBy>小毅哥</cp:lastModifiedBy>
  <dcterms:modified xsi:type="dcterms:W3CDTF">2024-10-17T08:28:05Z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68FE7EDBC0A44D68AB965D1C03425D3E_12</vt:lpwstr>
  </property>
</Properties>
</file>