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D3CB49">
      <w:pPr>
        <w:rPr>
          <w:rFonts w:hint="eastAsia" w:ascii="方正黑体简体" w:hAnsi="方正小标宋简体" w:eastAsia="方正黑体简体"/>
          <w:sz w:val="32"/>
          <w:szCs w:val="32"/>
        </w:rPr>
      </w:pPr>
      <w:bookmarkStart w:id="0" w:name="_GoBack"/>
      <w:bookmarkEnd w:id="0"/>
      <w:r>
        <w:rPr>
          <w:rFonts w:hint="eastAsia" w:ascii="方正黑体简体" w:hAnsi="方正小标宋简体" w:eastAsia="方正黑体简体"/>
          <w:sz w:val="32"/>
          <w:szCs w:val="32"/>
        </w:rPr>
        <w:t>附件3</w:t>
      </w:r>
    </w:p>
    <w:p w14:paraId="7B76C7F1">
      <w:pPr>
        <w:jc w:val="center"/>
        <w:rPr>
          <w:rFonts w:ascii="方正小标宋简体" w:hAnsi="方正小标宋简体" w:eastAsia="方正小标宋简体"/>
          <w:sz w:val="52"/>
          <w:szCs w:val="52"/>
        </w:rPr>
      </w:pPr>
      <w:r>
        <w:rPr>
          <w:rFonts w:ascii="方正小标宋简体" w:hAnsi="方正小标宋简体" w:eastAsia="方正小标宋简体"/>
          <w:sz w:val="52"/>
          <w:szCs w:val="52"/>
        </w:rPr>
        <w:t>德阳</w:t>
      </w:r>
      <w:r>
        <w:rPr>
          <w:rFonts w:hint="eastAsia" w:ascii="方正小标宋简体" w:hAnsi="方正小标宋简体" w:eastAsia="方正小标宋简体"/>
          <w:sz w:val="52"/>
          <w:szCs w:val="52"/>
        </w:rPr>
        <w:t>高新建材有限公司</w:t>
      </w:r>
    </w:p>
    <w:p w14:paraId="62F88DF3"/>
    <w:p w14:paraId="16D3BDEB">
      <w:pPr>
        <w:pStyle w:val="2"/>
      </w:pPr>
    </w:p>
    <w:p w14:paraId="43BAF500">
      <w:pPr>
        <w:jc w:val="center"/>
        <w:rPr>
          <w:rFonts w:ascii="方正小标宋简体" w:hAnsi="方正小标宋简体" w:eastAsia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/>
          <w:sz w:val="52"/>
          <w:szCs w:val="52"/>
        </w:rPr>
        <w:t>道</w:t>
      </w:r>
    </w:p>
    <w:p w14:paraId="646BAF68">
      <w:pPr>
        <w:jc w:val="center"/>
        <w:rPr>
          <w:rFonts w:ascii="方正小标宋简体" w:hAnsi="方正小标宋简体" w:eastAsia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/>
          <w:sz w:val="52"/>
          <w:szCs w:val="52"/>
        </w:rPr>
        <w:t>路</w:t>
      </w:r>
    </w:p>
    <w:p w14:paraId="5E95CAF4">
      <w:pPr>
        <w:jc w:val="center"/>
        <w:rPr>
          <w:rFonts w:ascii="方正小标宋简体" w:hAnsi="方正小标宋简体" w:eastAsia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/>
          <w:sz w:val="52"/>
          <w:szCs w:val="52"/>
        </w:rPr>
        <w:t>维</w:t>
      </w:r>
    </w:p>
    <w:p w14:paraId="44001D54">
      <w:pPr>
        <w:jc w:val="center"/>
        <w:rPr>
          <w:rFonts w:ascii="方正小标宋简体" w:hAnsi="方正小标宋简体" w:eastAsia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/>
          <w:sz w:val="52"/>
          <w:szCs w:val="52"/>
        </w:rPr>
        <w:t>修</w:t>
      </w:r>
    </w:p>
    <w:p w14:paraId="0CE6D8F2">
      <w:pPr>
        <w:jc w:val="center"/>
        <w:rPr>
          <w:rFonts w:ascii="方正小标宋简体" w:hAnsi="方正小标宋简体" w:eastAsia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/>
          <w:sz w:val="52"/>
          <w:szCs w:val="52"/>
        </w:rPr>
        <w:t>施</w:t>
      </w:r>
    </w:p>
    <w:p w14:paraId="14835B8A">
      <w:pPr>
        <w:jc w:val="center"/>
        <w:rPr>
          <w:rFonts w:ascii="方正小标宋简体" w:hAnsi="方正小标宋简体" w:eastAsia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/>
          <w:sz w:val="52"/>
          <w:szCs w:val="52"/>
        </w:rPr>
        <w:t>工</w:t>
      </w:r>
    </w:p>
    <w:p w14:paraId="343D7E9C">
      <w:pPr>
        <w:jc w:val="center"/>
        <w:rPr>
          <w:rFonts w:ascii="方正小标宋简体" w:hAnsi="方正小标宋简体" w:eastAsia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/>
          <w:sz w:val="52"/>
          <w:szCs w:val="52"/>
        </w:rPr>
        <w:t>合</w:t>
      </w:r>
    </w:p>
    <w:p w14:paraId="2FF9C37B">
      <w:pPr>
        <w:jc w:val="center"/>
        <w:rPr>
          <w:rFonts w:ascii="方正小标宋简体" w:hAnsi="方正小标宋简体" w:eastAsia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/>
          <w:sz w:val="52"/>
          <w:szCs w:val="52"/>
        </w:rPr>
        <w:t>同</w:t>
      </w:r>
    </w:p>
    <w:p w14:paraId="63BC2E66">
      <w:pPr>
        <w:jc w:val="center"/>
        <w:rPr>
          <w:rFonts w:ascii="方正小标宋简体" w:hAnsi="方正小标宋简体" w:eastAsia="方正小标宋简体"/>
          <w:sz w:val="32"/>
          <w:szCs w:val="32"/>
        </w:rPr>
      </w:pPr>
    </w:p>
    <w:p w14:paraId="36C68EF3">
      <w:pPr>
        <w:rPr>
          <w:rFonts w:ascii="方正小标宋简体" w:hAnsi="方正小标宋简体" w:eastAsia="方正小标宋简体"/>
          <w:sz w:val="32"/>
          <w:szCs w:val="32"/>
        </w:rPr>
      </w:pPr>
    </w:p>
    <w:p w14:paraId="1CA9AAAC">
      <w:pPr>
        <w:jc w:val="center"/>
        <w:rPr>
          <w:rFonts w:ascii="方正小标宋简体" w:hAnsi="方正小标宋简体" w:eastAsia="方正小标宋简体"/>
          <w:sz w:val="32"/>
          <w:szCs w:val="32"/>
        </w:rPr>
      </w:pPr>
    </w:p>
    <w:p w14:paraId="13AAB0FD">
      <w:pPr>
        <w:ind w:firstLine="2880" w:firstLineChars="900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合同编号：</w:t>
      </w:r>
      <w:r>
        <w:rPr>
          <w:rFonts w:eastAsia="黑体"/>
          <w:sz w:val="32"/>
          <w:szCs w:val="32"/>
        </w:rPr>
        <w:t>DGJSHT-2024-</w:t>
      </w:r>
    </w:p>
    <w:p w14:paraId="4A11D648">
      <w:pPr>
        <w:spacing w:line="570" w:lineRule="exact"/>
        <w:rPr>
          <w:rFonts w:eastAsia="仿宋_GB2312"/>
          <w:sz w:val="32"/>
          <w:szCs w:val="32"/>
        </w:rPr>
      </w:pPr>
    </w:p>
    <w:p w14:paraId="42DD911D">
      <w:pPr>
        <w:spacing w:line="570" w:lineRule="exact"/>
        <w:rPr>
          <w:rFonts w:eastAsia="仿宋_GB2312"/>
          <w:sz w:val="32"/>
          <w:szCs w:val="32"/>
        </w:rPr>
      </w:pPr>
    </w:p>
    <w:p w14:paraId="5BFACAC6">
      <w:pPr>
        <w:spacing w:line="570" w:lineRule="exact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甲方：</w:t>
      </w:r>
      <w:r>
        <w:rPr>
          <w:rFonts w:eastAsia="仿宋_GB2312"/>
          <w:sz w:val="32"/>
          <w:szCs w:val="32"/>
          <w:u w:val="single"/>
        </w:rPr>
        <w:t xml:space="preserve">                         </w:t>
      </w:r>
    </w:p>
    <w:p w14:paraId="7296636C">
      <w:pPr>
        <w:spacing w:line="570" w:lineRule="exact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乙方：</w:t>
      </w:r>
      <w:r>
        <w:rPr>
          <w:rFonts w:eastAsia="仿宋_GB2312"/>
          <w:sz w:val="32"/>
          <w:szCs w:val="32"/>
          <w:u w:val="single"/>
        </w:rPr>
        <w:t xml:space="preserve">                         </w:t>
      </w:r>
    </w:p>
    <w:p w14:paraId="095E1C99">
      <w:pPr>
        <w:spacing w:line="570" w:lineRule="exact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签订地点：</w:t>
      </w:r>
      <w:r>
        <w:rPr>
          <w:rFonts w:eastAsia="仿宋_GB2312"/>
          <w:sz w:val="32"/>
          <w:szCs w:val="32"/>
          <w:u w:val="single"/>
        </w:rPr>
        <w:t xml:space="preserve">四川.广汉            </w:t>
      </w:r>
    </w:p>
    <w:p w14:paraId="5B58E8CD">
      <w:pPr>
        <w:spacing w:line="57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签订时间：</w:t>
      </w:r>
      <w:r>
        <w:rPr>
          <w:rFonts w:eastAsia="仿宋_GB2312"/>
          <w:sz w:val="32"/>
          <w:szCs w:val="32"/>
          <w:u w:val="single"/>
        </w:rPr>
        <w:t xml:space="preserve">2024年  月  日       </w:t>
      </w:r>
    </w:p>
    <w:p w14:paraId="6F2AC872">
      <w:pPr>
        <w:spacing w:line="570" w:lineRule="exact"/>
        <w:rPr>
          <w:rFonts w:eastAsia="仿宋_GB2312"/>
          <w:sz w:val="32"/>
          <w:szCs w:val="32"/>
        </w:rPr>
      </w:pPr>
    </w:p>
    <w:p w14:paraId="1F310545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依据《中华人民共和国民法典》与项目行业有关的法律法规，甲、乙双方遵循平等、自愿、公平的原则，就德阳高新建材有限公司于旌江干线22K+500M与运输便道接壤处路面维修的事宜协商一致，签订本合同。</w:t>
      </w:r>
    </w:p>
    <w:p w14:paraId="1668AF90">
      <w:pPr>
        <w:spacing w:line="57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ascii="方正黑体简体" w:hAnsi="黑体" w:eastAsia="方正黑体简体"/>
          <w:sz w:val="32"/>
          <w:szCs w:val="32"/>
        </w:rPr>
        <w:t>一、工程概况</w:t>
      </w:r>
    </w:p>
    <w:p w14:paraId="6B8005C9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1.项目名称：</w:t>
      </w:r>
      <w:r>
        <w:rPr>
          <w:rFonts w:eastAsia="仿宋_GB2312"/>
          <w:sz w:val="32"/>
          <w:szCs w:val="32"/>
          <w:u w:val="single"/>
        </w:rPr>
        <w:t>德阳高新建材有限公司于旌江干线22K+500M与运输便道接壤处路面维修项</w:t>
      </w:r>
      <w:r>
        <w:rPr>
          <w:rFonts w:eastAsia="仿宋_GB2312"/>
          <w:sz w:val="32"/>
          <w:szCs w:val="32"/>
        </w:rPr>
        <w:t>目；</w:t>
      </w:r>
    </w:p>
    <w:p w14:paraId="221BDEA9">
      <w:pPr>
        <w:spacing w:line="570" w:lineRule="exact"/>
        <w:ind w:firstLine="640" w:firstLineChars="200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2.项目地点：</w:t>
      </w:r>
      <w:r>
        <w:rPr>
          <w:rFonts w:eastAsia="仿宋_GB2312"/>
          <w:sz w:val="32"/>
          <w:szCs w:val="32"/>
          <w:u w:val="single"/>
        </w:rPr>
        <w:t>广汉市三水镇中心村</w:t>
      </w:r>
      <w:r>
        <w:rPr>
          <w:rFonts w:eastAsia="仿宋_GB2312"/>
          <w:sz w:val="32"/>
          <w:szCs w:val="32"/>
        </w:rPr>
        <w:t>；</w:t>
      </w:r>
    </w:p>
    <w:p w14:paraId="5D216542">
      <w:pPr>
        <w:spacing w:line="570" w:lineRule="exact"/>
        <w:ind w:firstLine="640" w:firstLineChars="200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3.施工内容：</w:t>
      </w:r>
      <w:r>
        <w:rPr>
          <w:rFonts w:eastAsia="仿宋_GB2312"/>
          <w:sz w:val="32"/>
          <w:szCs w:val="32"/>
          <w:u w:val="single"/>
        </w:rPr>
        <w:t>对甲方指定区域100</w:t>
      </w:r>
      <w:r>
        <w:rPr>
          <w:rFonts w:ascii="Segoe UI Symbol" w:hAnsi="Segoe UI Symbol" w:eastAsia="仿宋_GB2312" w:cs="Segoe UI Symbol"/>
          <w:sz w:val="32"/>
          <w:szCs w:val="32"/>
          <w:u w:val="single"/>
        </w:rPr>
        <w:t>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的路面，进行热油沥青路面摊铺施工（采用切割机对施工区域三边切口，破碎头中间钻孔，增加路面融合度，最后采用人工摊铺平均</w:t>
      </w:r>
      <w:r>
        <w:rPr>
          <w:rFonts w:eastAsia="仿宋_GB2312"/>
          <w:sz w:val="32"/>
          <w:szCs w:val="32"/>
          <w:u w:val="single"/>
        </w:rPr>
        <w:t>6公分厚度热油沥青，小型压路机压实）</w:t>
      </w:r>
      <w:r>
        <w:rPr>
          <w:rFonts w:eastAsia="仿宋_GB2312"/>
          <w:sz w:val="32"/>
          <w:szCs w:val="32"/>
        </w:rPr>
        <w:t>。</w:t>
      </w:r>
    </w:p>
    <w:p w14:paraId="72442F13">
      <w:pPr>
        <w:spacing w:line="570" w:lineRule="exact"/>
        <w:ind w:firstLine="640" w:firstLineChars="200"/>
        <w:rPr>
          <w:rFonts w:ascii="方正黑体简体" w:hAnsi="黑体" w:eastAsia="方正黑体简体"/>
          <w:sz w:val="32"/>
          <w:szCs w:val="32"/>
        </w:rPr>
      </w:pPr>
      <w:r>
        <w:rPr>
          <w:rFonts w:hint="eastAsia" w:ascii="方正黑体简体" w:hAnsi="黑体" w:eastAsia="方正黑体简体"/>
          <w:sz w:val="32"/>
          <w:szCs w:val="32"/>
        </w:rPr>
        <w:t>二、施工期限</w:t>
      </w:r>
    </w:p>
    <w:p w14:paraId="669DB918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1.开工日期：</w:t>
      </w:r>
      <w:r>
        <w:rPr>
          <w:rFonts w:hint="eastAsia"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  <w:u w:val="single"/>
        </w:rPr>
        <w:t>年</w:t>
      </w:r>
      <w:r>
        <w:rPr>
          <w:rFonts w:hint="eastAsia" w:eastAsia="仿宋_GB2312"/>
          <w:sz w:val="32"/>
          <w:szCs w:val="32"/>
          <w:u w:val="single"/>
        </w:rPr>
        <w:t xml:space="preserve">  </w:t>
      </w:r>
      <w:r>
        <w:rPr>
          <w:rFonts w:eastAsia="仿宋_GB2312"/>
          <w:sz w:val="32"/>
          <w:szCs w:val="32"/>
          <w:u w:val="single"/>
        </w:rPr>
        <w:t>月  日</w:t>
      </w:r>
      <w:r>
        <w:rPr>
          <w:rFonts w:eastAsia="仿宋_GB2312"/>
          <w:sz w:val="32"/>
          <w:szCs w:val="32"/>
        </w:rPr>
        <w:t>；</w:t>
      </w:r>
    </w:p>
    <w:p w14:paraId="566082C5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2.项目工期：本项目施工总时长为</w:t>
      </w:r>
      <w:r>
        <w:rPr>
          <w:rFonts w:hint="eastAsia"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，如因不可抗力或非乙方原因导致工期延误，经双方协商可相应顺延。</w:t>
      </w:r>
    </w:p>
    <w:p w14:paraId="52AA09C1">
      <w:pPr>
        <w:spacing w:line="570" w:lineRule="exact"/>
        <w:ind w:firstLine="640" w:firstLineChars="200"/>
        <w:rPr>
          <w:rFonts w:ascii="方正黑体简体" w:hAnsi="黑体" w:eastAsia="方正黑体简体"/>
          <w:sz w:val="32"/>
          <w:szCs w:val="32"/>
        </w:rPr>
      </w:pPr>
      <w:r>
        <w:rPr>
          <w:rFonts w:ascii="方正黑体简体" w:hAnsi="黑体" w:eastAsia="方正黑体简体"/>
          <w:sz w:val="32"/>
          <w:szCs w:val="32"/>
        </w:rPr>
        <w:t>三、合同金额</w:t>
      </w:r>
    </w:p>
    <w:p w14:paraId="5B6F16C2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本合同工程金额为人民币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hint="eastAsia" w:eastAsia="仿宋_GB2312"/>
          <w:sz w:val="32"/>
          <w:szCs w:val="32"/>
          <w:u w:val="single"/>
        </w:rPr>
        <w:t xml:space="preserve">  </w:t>
      </w:r>
      <w:r>
        <w:rPr>
          <w:rFonts w:eastAsia="仿宋_GB2312"/>
          <w:sz w:val="32"/>
          <w:szCs w:val="32"/>
          <w:u w:val="single"/>
        </w:rPr>
        <w:t>元</w:t>
      </w:r>
      <w:r>
        <w:rPr>
          <w:rFonts w:eastAsia="仿宋_GB2312"/>
          <w:sz w:val="32"/>
          <w:szCs w:val="32"/>
        </w:rPr>
        <w:t>（大写金额：      ），此价格为固定总价，包括但不限于人工费、材料费、机械费、安全措施费、交通费、税费、利润等为完成本工程的所有费用。</w:t>
      </w:r>
    </w:p>
    <w:p w14:paraId="2158F4C7">
      <w:pPr>
        <w:spacing w:line="570" w:lineRule="exact"/>
        <w:ind w:firstLine="640" w:firstLineChars="200"/>
        <w:rPr>
          <w:rFonts w:ascii="方正黑体简体" w:hAnsi="黑体" w:eastAsia="方正黑体简体"/>
          <w:sz w:val="32"/>
          <w:szCs w:val="32"/>
        </w:rPr>
      </w:pPr>
      <w:r>
        <w:rPr>
          <w:rFonts w:ascii="方正黑体简体" w:hAnsi="黑体" w:eastAsia="方正黑体简体"/>
          <w:sz w:val="32"/>
          <w:szCs w:val="32"/>
        </w:rPr>
        <w:t>四、支付方式</w:t>
      </w:r>
    </w:p>
    <w:p w14:paraId="05105C6F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1.合同签订进场后支付至合同总金额的30%；完成全部工程量，完工验收合格后15日内支付至合同总金额的100%；</w:t>
      </w:r>
    </w:p>
    <w:p w14:paraId="25A142E1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2.甲方每次付款前，乙方按甲方要求出具等额合法的增值税专用发票，甲方以转账方式支付上述款项至乙方账户。</w:t>
      </w:r>
    </w:p>
    <w:p w14:paraId="373C7E31">
      <w:pPr>
        <w:tabs>
          <w:tab w:val="left" w:pos="6748"/>
        </w:tabs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乙方指定收款银行账户如下：</w:t>
      </w:r>
      <w:r>
        <w:rPr>
          <w:rFonts w:eastAsia="仿宋_GB2312"/>
          <w:sz w:val="32"/>
          <w:szCs w:val="32"/>
        </w:rPr>
        <w:tab/>
      </w:r>
    </w:p>
    <w:p w14:paraId="09C23D99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户名： </w:t>
      </w:r>
    </w:p>
    <w:p w14:paraId="01D764B8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账号：</w:t>
      </w:r>
    </w:p>
    <w:p w14:paraId="5B8C957F">
      <w:pPr>
        <w:spacing w:line="57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开户行： </w:t>
      </w:r>
    </w:p>
    <w:p w14:paraId="4D74C1E3">
      <w:pPr>
        <w:spacing w:line="570" w:lineRule="exact"/>
        <w:ind w:firstLine="640" w:firstLineChars="200"/>
        <w:rPr>
          <w:rFonts w:ascii="方正黑体简体" w:hAnsi="黑体" w:eastAsia="方正黑体简体"/>
          <w:sz w:val="32"/>
          <w:szCs w:val="32"/>
        </w:rPr>
      </w:pPr>
      <w:r>
        <w:rPr>
          <w:rFonts w:ascii="方正黑体简体" w:hAnsi="黑体" w:eastAsia="方正黑体简体"/>
          <w:sz w:val="32"/>
          <w:szCs w:val="32"/>
        </w:rPr>
        <w:t>五、工程质量与标准</w:t>
      </w:r>
    </w:p>
    <w:p w14:paraId="161E4171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1.乙方应按照国家及行业相关标准进行施工，确保路面平整度、压实度等指标达到规定标准，保证路面无明显裂缝、松散等质量缺陷；</w:t>
      </w:r>
    </w:p>
    <w:p w14:paraId="180235E0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 本工程所涉及的材料及施工均按照国家、地方现行相关行业质量标准执行；</w:t>
      </w:r>
    </w:p>
    <w:p w14:paraId="51E142D4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 工程竣工后，需经甲方验收合格后，方可视为工程完工。</w:t>
      </w:r>
    </w:p>
    <w:p w14:paraId="3EA8C581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方正黑体简体" w:hAnsi="黑体" w:eastAsia="方正黑体简体"/>
          <w:sz w:val="32"/>
          <w:szCs w:val="32"/>
        </w:rPr>
        <w:t>六、双方的权利与义务</w:t>
      </w:r>
    </w:p>
    <w:p w14:paraId="7B36F66C">
      <w:pPr>
        <w:spacing w:line="570" w:lineRule="exact"/>
        <w:ind w:firstLine="640" w:firstLineChars="200"/>
        <w:rPr>
          <w:rFonts w:ascii="方正楷体简体" w:eastAsia="方正楷体简体"/>
          <w:sz w:val="32"/>
          <w:szCs w:val="32"/>
        </w:rPr>
      </w:pPr>
      <w:r>
        <w:rPr>
          <w:rFonts w:hint="eastAsia" w:ascii="方正楷体简体" w:eastAsia="方正楷体简体"/>
          <w:sz w:val="32"/>
          <w:szCs w:val="32"/>
        </w:rPr>
        <w:t>（一）甲方权利与义务</w:t>
      </w:r>
    </w:p>
    <w:p w14:paraId="156C6021">
      <w:pPr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eastAsia="仿宋_GB2312"/>
          <w:bCs/>
          <w:sz w:val="32"/>
          <w:szCs w:val="32"/>
        </w:rPr>
        <w:t>甲方有权对合同规定范围内乙方的工程行为进行监督和检查，拥有监管权；</w:t>
      </w:r>
    </w:p>
    <w:p w14:paraId="06642F4E">
      <w:pPr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2.提供施工场地及必要的施工条件，如水电接入等；</w:t>
      </w:r>
    </w:p>
    <w:p w14:paraId="5CBD81D7">
      <w:pPr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3.根据本合同规定，按时向乙方支付应付工程款；</w:t>
      </w:r>
    </w:p>
    <w:p w14:paraId="366E4829">
      <w:pPr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4.国家法律、法规所规定由甲方承担的其它责任。</w:t>
      </w:r>
    </w:p>
    <w:p w14:paraId="68F2163B">
      <w:pPr>
        <w:spacing w:line="570" w:lineRule="exact"/>
        <w:ind w:firstLine="640" w:firstLineChars="200"/>
        <w:rPr>
          <w:rFonts w:ascii="方正楷体简体" w:eastAsia="方正楷体简体"/>
          <w:sz w:val="32"/>
          <w:szCs w:val="32"/>
        </w:rPr>
      </w:pPr>
      <w:r>
        <w:rPr>
          <w:rFonts w:ascii="方正楷体简体" w:eastAsia="方正楷体简体"/>
          <w:sz w:val="32"/>
          <w:szCs w:val="32"/>
        </w:rPr>
        <w:t>（二）乙方权利与义务</w:t>
      </w:r>
    </w:p>
    <w:p w14:paraId="34D7FFE3">
      <w:pPr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1.对本合同规定范围内的项目享有管理权及服务义务；</w:t>
      </w:r>
    </w:p>
    <w:p w14:paraId="0A0CC23F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2.组织专业施工队伍，配备足够的施工设备和材料，确保工程进度和质量；</w:t>
      </w:r>
    </w:p>
    <w:p w14:paraId="2C988A21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3.遵守施工现场的管理规定，做好安全防护措施，如发生安全事故，承担相应责任；</w:t>
      </w:r>
    </w:p>
    <w:p w14:paraId="688AFA9A">
      <w:pPr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sz w:val="32"/>
          <w:szCs w:val="32"/>
        </w:rPr>
        <w:t>4.</w:t>
      </w:r>
      <w:r>
        <w:rPr>
          <w:rFonts w:eastAsia="仿宋_GB2312"/>
          <w:bCs/>
          <w:sz w:val="32"/>
          <w:szCs w:val="32"/>
        </w:rPr>
        <w:t>接受项目行业管理部门及有关部门的指导，接受甲方的监督；</w:t>
      </w:r>
    </w:p>
    <w:p w14:paraId="797D25E0">
      <w:pPr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5.根据本合同的规定向甲方收取相关工程款项；</w:t>
      </w:r>
    </w:p>
    <w:p w14:paraId="3304143C">
      <w:pPr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sz w:val="32"/>
          <w:szCs w:val="32"/>
        </w:rPr>
        <w:t>6.</w:t>
      </w:r>
      <w:r>
        <w:rPr>
          <w:rFonts w:eastAsia="仿宋_GB2312"/>
          <w:bCs/>
          <w:sz w:val="32"/>
          <w:szCs w:val="32"/>
        </w:rPr>
        <w:t>国家法律、法规所规定由乙方承担的其它责任。</w:t>
      </w:r>
    </w:p>
    <w:p w14:paraId="7AD99C1A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方正黑体简体" w:hAnsi="黑体" w:eastAsia="方正黑体简体"/>
          <w:sz w:val="32"/>
          <w:szCs w:val="32"/>
        </w:rPr>
        <w:t>七、违约责任</w:t>
      </w:r>
    </w:p>
    <w:p w14:paraId="09E76685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1.若甲方未按合同约定支付工程款项，每逾期一日，应按照未支付金额的5%向乙方支付违约金；</w:t>
      </w:r>
    </w:p>
    <w:p w14:paraId="27D18A07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2.若乙方未按合同约定的工期完成工程，应按照工程总造价的</w:t>
      </w:r>
      <w:r>
        <w:rPr>
          <w:rFonts w:hint="eastAsia" w:eastAsia="仿宋_GB2312"/>
          <w:sz w:val="32"/>
          <w:szCs w:val="32"/>
          <w:lang w:val="en-US" w:eastAsia="zh-CN"/>
        </w:rPr>
        <w:t>20</w:t>
      </w:r>
      <w:r>
        <w:rPr>
          <w:rFonts w:eastAsia="仿宋_GB2312"/>
          <w:sz w:val="32"/>
          <w:szCs w:val="32"/>
        </w:rPr>
        <w:t>%向甲方支付违约金；如因不可抗力等非乙方原因导致工期延误的除外；</w:t>
      </w:r>
    </w:p>
    <w:p w14:paraId="27AFA9A5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3.若乙方施工质量不符合合同要求，应负责无偿返工，直至达到合同要求为止，并承担由此给甲方造成的损失。</w:t>
      </w:r>
    </w:p>
    <w:p w14:paraId="04304BDC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方正黑体简体" w:hAnsi="黑体" w:eastAsia="方正黑体简体"/>
          <w:sz w:val="32"/>
          <w:szCs w:val="32"/>
        </w:rPr>
        <w:t>八、争议解决</w:t>
      </w:r>
    </w:p>
    <w:p w14:paraId="227113EF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本合同在履行过程中如发生争议，双方应友好协商解决；协商不成的，可向甲方所在地的人民法院提起诉讼。</w:t>
      </w:r>
    </w:p>
    <w:p w14:paraId="6CEF0A82">
      <w:pPr>
        <w:spacing w:line="570" w:lineRule="exact"/>
        <w:ind w:firstLine="640" w:firstLineChars="200"/>
        <w:rPr>
          <w:rFonts w:ascii="方正黑体简体" w:eastAsia="方正黑体简体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九、合同的生效</w:t>
      </w:r>
    </w:p>
    <w:p w14:paraId="2DA10448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本合同一式</w:t>
      </w:r>
      <w:r>
        <w:rPr>
          <w:rFonts w:eastAsia="仿宋_GB2312"/>
          <w:sz w:val="32"/>
          <w:szCs w:val="32"/>
          <w:u w:val="single"/>
        </w:rPr>
        <w:t>叁</w:t>
      </w:r>
      <w:r>
        <w:rPr>
          <w:rFonts w:eastAsia="仿宋_GB2312"/>
          <w:sz w:val="32"/>
          <w:szCs w:val="32"/>
        </w:rPr>
        <w:t>份，甲方</w:t>
      </w:r>
      <w:r>
        <w:rPr>
          <w:rFonts w:eastAsia="仿宋_GB2312"/>
          <w:sz w:val="32"/>
          <w:szCs w:val="32"/>
          <w:u w:val="single"/>
        </w:rPr>
        <w:t>贰</w:t>
      </w:r>
      <w:r>
        <w:rPr>
          <w:rFonts w:eastAsia="仿宋_GB2312"/>
          <w:sz w:val="32"/>
          <w:szCs w:val="32"/>
        </w:rPr>
        <w:t>份，乙方</w:t>
      </w:r>
      <w:r>
        <w:rPr>
          <w:rFonts w:eastAsia="仿宋_GB2312"/>
          <w:sz w:val="32"/>
          <w:szCs w:val="32"/>
          <w:u w:val="single"/>
        </w:rPr>
        <w:t>壹</w:t>
      </w:r>
      <w:r>
        <w:rPr>
          <w:rFonts w:eastAsia="仿宋_GB2312"/>
          <w:sz w:val="32"/>
          <w:szCs w:val="32"/>
        </w:rPr>
        <w:t>份，具有同等法律效力，自双方签字盖章之日起生效。</w:t>
      </w:r>
    </w:p>
    <w:p w14:paraId="4D6783C4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</w:p>
    <w:p w14:paraId="751CF303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</w:p>
    <w:p w14:paraId="35CAEF09">
      <w:pPr>
        <w:spacing w:line="57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甲方（盖章）：               乙方（盖章）：</w:t>
      </w:r>
    </w:p>
    <w:p w14:paraId="55BA66DB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</w:p>
    <w:p w14:paraId="3E1A03B9">
      <w:pPr>
        <w:spacing w:line="57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法定代表或授权人（签字）：     法定代表或授权人（签字）：</w:t>
      </w:r>
    </w:p>
    <w:p w14:paraId="0673AC21">
      <w:pPr>
        <w:spacing w:line="57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联系方式：                   联系方式：</w:t>
      </w:r>
    </w:p>
    <w:p w14:paraId="09B1D1F4">
      <w:pPr>
        <w:spacing w:line="57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签定时间：                   签订时间：</w:t>
      </w:r>
    </w:p>
    <w:p w14:paraId="01D5A078">
      <w:pPr>
        <w:pStyle w:val="2"/>
        <w:rPr>
          <w:lang w:eastAsia="zh-CN"/>
        </w:rPr>
      </w:pPr>
    </w:p>
    <w:sectPr>
      <w:pgSz w:w="11906" w:h="16838"/>
      <w:pgMar w:top="737" w:right="1134" w:bottom="737" w:left="1134" w:header="0" w:footer="0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BlNWFiM2RiN2IzZTIxNGM0MjRiZGRhMTQwY2E0Y2UifQ=="/>
  </w:docVars>
  <w:rsids>
    <w:rsidRoot w:val="000054BB"/>
    <w:rsid w:val="000054BB"/>
    <w:rsid w:val="002C07B3"/>
    <w:rsid w:val="005D2854"/>
    <w:rsid w:val="00BA1CDC"/>
    <w:rsid w:val="00D13ABE"/>
    <w:rsid w:val="04332E81"/>
    <w:rsid w:val="0BE257B3"/>
    <w:rsid w:val="0C3E178C"/>
    <w:rsid w:val="0FDF5034"/>
    <w:rsid w:val="10E723F2"/>
    <w:rsid w:val="166938A9"/>
    <w:rsid w:val="1E592455"/>
    <w:rsid w:val="1F617814"/>
    <w:rsid w:val="28C826B1"/>
    <w:rsid w:val="2EE31FF3"/>
    <w:rsid w:val="300F6E18"/>
    <w:rsid w:val="3DE11DF4"/>
    <w:rsid w:val="43207A8E"/>
    <w:rsid w:val="49957F36"/>
    <w:rsid w:val="51AC22C1"/>
    <w:rsid w:val="56E11CAB"/>
    <w:rsid w:val="58EB1921"/>
    <w:rsid w:val="59B461B6"/>
    <w:rsid w:val="5BC30933"/>
    <w:rsid w:val="6E421B8B"/>
    <w:rsid w:val="6EC6456A"/>
    <w:rsid w:val="78340796"/>
    <w:rsid w:val="7CBC6FAC"/>
    <w:rsid w:val="7D401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Calibri" w:hAnsi="Calibri" w:eastAsia="宋体" w:cs="Times New Roman"/>
      <w:kern w:val="2"/>
      <w:sz w:val="24"/>
      <w:szCs w:val="20"/>
      <w:lang w:val="en-US" w:eastAsia="zh-TW" w:bidi="ar-SA"/>
    </w:rPr>
  </w:style>
  <w:style w:type="paragraph" w:styleId="3">
    <w:name w:val="heading 3"/>
    <w:basedOn w:val="1"/>
    <w:next w:val="1"/>
    <w:link w:val="11"/>
    <w:qFormat/>
    <w:uiPriority w:val="0"/>
    <w:pPr>
      <w:keepNext/>
      <w:keepLines/>
      <w:spacing w:line="560" w:lineRule="exact"/>
      <w:ind w:firstLine="720" w:firstLineChars="200"/>
      <w:outlineLvl w:val="2"/>
    </w:pPr>
    <w:rPr>
      <w:rFonts w:ascii="Times New Roman" w:hAnsi="Times New Roman" w:eastAsia="楷体_GB2312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2"/>
    <w:qFormat/>
    <w:uiPriority w:val="0"/>
    <w:pPr>
      <w:spacing w:after="120"/>
    </w:pPr>
  </w:style>
  <w:style w:type="paragraph" w:styleId="4">
    <w:name w:val="Plain Text"/>
    <w:basedOn w:val="1"/>
    <w:link w:val="13"/>
    <w:qFormat/>
    <w:uiPriority w:val="0"/>
    <w:rPr>
      <w:rFonts w:ascii="宋体" w:hAnsi="Courier New"/>
      <w:sz w:val="30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sz w:val="18"/>
      <w:szCs w:val="18"/>
      <w:lang w:eastAsia="zh-CN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  <w:lang w:eastAsia="zh-CN"/>
    </w:rPr>
  </w:style>
  <w:style w:type="character" w:customStyle="1" w:styleId="9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标题 3 Char"/>
    <w:basedOn w:val="8"/>
    <w:link w:val="3"/>
    <w:qFormat/>
    <w:uiPriority w:val="0"/>
    <w:rPr>
      <w:rFonts w:ascii="Times New Roman" w:hAnsi="Times New Roman" w:eastAsia="楷体_GB2312" w:cs="Times New Roman"/>
      <w:b/>
      <w:sz w:val="32"/>
      <w:szCs w:val="20"/>
      <w:lang w:eastAsia="zh-TW"/>
    </w:rPr>
  </w:style>
  <w:style w:type="character" w:customStyle="1" w:styleId="12">
    <w:name w:val="正文文本 Char"/>
    <w:basedOn w:val="8"/>
    <w:link w:val="2"/>
    <w:qFormat/>
    <w:uiPriority w:val="0"/>
    <w:rPr>
      <w:rFonts w:ascii="Calibri" w:hAnsi="Calibri" w:eastAsia="宋体" w:cs="Times New Roman"/>
      <w:sz w:val="24"/>
      <w:szCs w:val="20"/>
      <w:lang w:eastAsia="zh-TW"/>
    </w:rPr>
  </w:style>
  <w:style w:type="character" w:customStyle="1" w:styleId="13">
    <w:name w:val="纯文本 Char"/>
    <w:basedOn w:val="8"/>
    <w:link w:val="4"/>
    <w:qFormat/>
    <w:uiPriority w:val="0"/>
    <w:rPr>
      <w:rFonts w:ascii="宋体" w:hAnsi="Courier New" w:eastAsia="宋体" w:cs="Times New Roman"/>
      <w:sz w:val="30"/>
      <w:szCs w:val="20"/>
      <w:lang w:eastAsia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2569</Words>
  <Characters>2718</Characters>
  <Lines>22</Lines>
  <Paragraphs>6</Paragraphs>
  <TotalTime>4</TotalTime>
  <ScaleCrop>false</ScaleCrop>
  <LinksUpToDate>false</LinksUpToDate>
  <CharactersWithSpaces>3052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2024-11-13T02:44:00Z</dcterms:created>
  <dc:creator>le</dc:creator>
  <cp:lastModifiedBy>Administrator</cp:lastModifiedBy>
  <dcterms:modified xsi:type="dcterms:W3CDTF">2024-11-20T02:21:58Z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D4084EBDC4AA4AEE9589694F9A8DC591_13</vt:lpwstr>
  </property>
</Properties>
</file>