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89DB3">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470826D8">
      <w:pPr>
        <w:rPr>
          <w:rFonts w:hint="eastAsia"/>
          <w:color w:val="auto"/>
          <w:highlight w:val="none"/>
        </w:rPr>
      </w:pPr>
    </w:p>
    <w:p w14:paraId="62A39FF2">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2AA4691B">
      <w:pPr>
        <w:spacing w:line="480" w:lineRule="auto"/>
        <w:rPr>
          <w:rFonts w:hint="eastAsia" w:ascii="黑体" w:eastAsia="黑体"/>
          <w:b/>
          <w:color w:val="auto"/>
          <w:sz w:val="24"/>
          <w:highlight w:val="none"/>
        </w:rPr>
      </w:pPr>
    </w:p>
    <w:p w14:paraId="1620BB8C">
      <w:pPr>
        <w:rPr>
          <w:rFonts w:hint="eastAsia" w:ascii="黑体" w:eastAsia="黑体"/>
          <w:b/>
          <w:color w:val="auto"/>
          <w:sz w:val="24"/>
          <w:highlight w:val="none"/>
        </w:rPr>
      </w:pPr>
    </w:p>
    <w:p w14:paraId="6827649D">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工程名称：四川国际航展(ACC飞街片区)基础设施建设项目-房屋建设及附属设施商业配套提升改造工程</w:t>
      </w:r>
    </w:p>
    <w:p w14:paraId="026DC735">
      <w:pPr>
        <w:snapToGrid w:val="0"/>
        <w:spacing w:line="600" w:lineRule="auto"/>
        <w:ind w:right="756" w:rightChars="360" w:firstLine="943" w:firstLineChars="393"/>
        <w:rPr>
          <w:rFonts w:hint="eastAsia" w:ascii="黑体" w:hAnsi="黑体" w:eastAsia="黑体"/>
          <w:color w:val="auto"/>
          <w:sz w:val="24"/>
          <w:highlight w:val="none"/>
          <w:u w:val="single"/>
          <w:lang w:val="en-US" w:eastAsia="zh-CN"/>
        </w:rPr>
      </w:pPr>
      <w:r>
        <w:rPr>
          <w:rFonts w:hint="eastAsia" w:ascii="黑体" w:hAnsi="黑体" w:eastAsia="黑体"/>
          <w:color w:val="auto"/>
          <w:sz w:val="24"/>
          <w:highlight w:val="none"/>
        </w:rPr>
        <w:t>建设地点：</w:t>
      </w:r>
      <w:r>
        <w:rPr>
          <w:rFonts w:hint="eastAsia" w:ascii="黑体" w:hAnsi="黑体" w:eastAsia="黑体"/>
          <w:color w:val="auto"/>
          <w:sz w:val="24"/>
          <w:highlight w:val="none"/>
          <w:lang w:val="en-US" w:eastAsia="zh-CN"/>
        </w:rPr>
        <w:t>广汉市</w:t>
      </w:r>
    </w:p>
    <w:p w14:paraId="60274BBB">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3C0704F2">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5FC3648A">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4C8829DF">
      <w:pPr>
        <w:spacing w:line="780" w:lineRule="auto"/>
        <w:rPr>
          <w:rFonts w:hint="eastAsia" w:ascii="黑体" w:eastAsia="黑体"/>
          <w:b/>
          <w:color w:val="auto"/>
          <w:sz w:val="24"/>
          <w:highlight w:val="none"/>
          <w:u w:val="single"/>
        </w:rPr>
      </w:pPr>
    </w:p>
    <w:p w14:paraId="76E7BF43">
      <w:pPr>
        <w:spacing w:line="780" w:lineRule="auto"/>
        <w:rPr>
          <w:rFonts w:hint="eastAsia" w:ascii="黑体" w:eastAsia="黑体"/>
          <w:b/>
          <w:color w:val="auto"/>
          <w:sz w:val="24"/>
          <w:highlight w:val="none"/>
          <w:u w:val="single"/>
        </w:rPr>
      </w:pPr>
    </w:p>
    <w:p w14:paraId="2E884D43">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4EBCBFBD">
      <w:pPr>
        <w:spacing w:line="780" w:lineRule="auto"/>
        <w:jc w:val="center"/>
        <w:rPr>
          <w:rFonts w:hint="eastAsia" w:ascii="宋体" w:hAnsi="宋体"/>
          <w:color w:val="auto"/>
          <w:sz w:val="24"/>
          <w:highlight w:val="none"/>
        </w:rPr>
      </w:pPr>
    </w:p>
    <w:p w14:paraId="204A9997">
      <w:pPr>
        <w:pStyle w:val="4"/>
        <w:rPr>
          <w:rFonts w:hint="eastAsia"/>
          <w:color w:val="auto"/>
          <w:highlight w:val="none"/>
        </w:rPr>
      </w:pPr>
    </w:p>
    <w:p w14:paraId="5A6D5EF0">
      <w:pPr>
        <w:rPr>
          <w:color w:val="auto"/>
          <w:highlight w:val="none"/>
        </w:rPr>
      </w:pPr>
    </w:p>
    <w:p w14:paraId="6B33743C">
      <w:pPr>
        <w:pStyle w:val="4"/>
        <w:jc w:val="center"/>
        <w:rPr>
          <w:rFonts w:hint="eastAsia" w:ascii="宋体" w:hAnsi="宋体"/>
          <w:b/>
          <w:bCs/>
          <w:color w:val="auto"/>
          <w:sz w:val="36"/>
          <w:szCs w:val="36"/>
          <w:highlight w:val="none"/>
        </w:rPr>
      </w:pPr>
    </w:p>
    <w:p w14:paraId="1ED2B8F5">
      <w:pPr>
        <w:pStyle w:val="4"/>
        <w:jc w:val="center"/>
        <w:rPr>
          <w:rFonts w:hint="eastAsia" w:ascii="宋体" w:hAnsi="宋体"/>
          <w:b/>
          <w:bCs/>
          <w:color w:val="auto"/>
          <w:sz w:val="36"/>
          <w:szCs w:val="36"/>
          <w:highlight w:val="none"/>
        </w:rPr>
      </w:pPr>
    </w:p>
    <w:p w14:paraId="2FE00F89">
      <w:pPr>
        <w:pStyle w:val="4"/>
        <w:keepNext w:val="0"/>
        <w:keepLines w:val="0"/>
        <w:pageBreakBefore w:val="0"/>
        <w:widowControl w:val="0"/>
        <w:kinsoku/>
        <w:wordWrap/>
        <w:overflowPunct/>
        <w:topLinePunct w:val="0"/>
        <w:autoSpaceDE/>
        <w:autoSpaceDN/>
        <w:bidi w:val="0"/>
        <w:adjustRightInd/>
        <w:snapToGrid/>
        <w:spacing w:after="0" w:line="500" w:lineRule="exact"/>
        <w:jc w:val="center"/>
        <w:textAlignment w:val="auto"/>
        <w:rPr>
          <w:rFonts w:hint="eastAsia"/>
          <w:b/>
          <w:bCs/>
          <w:color w:val="auto"/>
          <w:sz w:val="36"/>
          <w:szCs w:val="36"/>
          <w:highlight w:val="none"/>
        </w:rPr>
      </w:pPr>
      <w:r>
        <w:rPr>
          <w:rFonts w:hint="eastAsia" w:ascii="宋体" w:hAnsi="宋体"/>
          <w:b/>
          <w:bCs/>
          <w:color w:val="auto"/>
          <w:sz w:val="36"/>
          <w:szCs w:val="36"/>
          <w:highlight w:val="none"/>
        </w:rPr>
        <w:t>合同协议书</w:t>
      </w:r>
    </w:p>
    <w:p w14:paraId="4610078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3FE52E4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7B7125DA">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olor w:val="auto"/>
          <w:sz w:val="24"/>
          <w:highlight w:val="none"/>
          <w:lang w:val="en-US" w:eastAsia="zh-CN"/>
        </w:rPr>
        <w:t>四川国际航展(ACC飞街片区)基础设施建设项目-房屋建设及附属设施商业配套提升改造工程</w:t>
      </w:r>
      <w:r>
        <w:rPr>
          <w:rFonts w:hint="eastAsia" w:ascii="宋体" w:hAnsi="宋体" w:cs="Times New Roman"/>
          <w:color w:val="auto"/>
          <w:sz w:val="24"/>
          <w:highlight w:val="none"/>
          <w:lang w:val="en-US" w:eastAsia="zh-CN"/>
        </w:rPr>
        <w:t>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467A13A5">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rPr>
          <w:rFonts w:hint="eastAsia" w:ascii="宋体" w:hAnsi="宋体"/>
          <w:b/>
          <w:color w:val="auto"/>
          <w:sz w:val="24"/>
          <w:highlight w:val="none"/>
        </w:rPr>
      </w:pPr>
      <w:r>
        <w:rPr>
          <w:rFonts w:hint="eastAsia" w:ascii="宋体" w:hAnsi="宋体"/>
          <w:b/>
          <w:color w:val="auto"/>
          <w:sz w:val="24"/>
          <w:highlight w:val="none"/>
        </w:rPr>
        <w:t>第一条  审查咨询依据</w:t>
      </w:r>
    </w:p>
    <w:p w14:paraId="1C0DF7C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1.1</w:t>
      </w:r>
      <w:r>
        <w:rPr>
          <w:rFonts w:hint="eastAsia" w:ascii="宋体" w:hAnsi="宋体"/>
          <w:color w:val="auto"/>
          <w:sz w:val="24"/>
          <w:highlight w:val="none"/>
          <w:lang w:val="en-US" w:eastAsia="zh-CN"/>
        </w:rPr>
        <w:t xml:space="preserve"> </w:t>
      </w:r>
      <w:r>
        <w:rPr>
          <w:rFonts w:hint="eastAsia" w:ascii="宋体" w:hAnsi="宋体"/>
          <w:color w:val="auto"/>
          <w:sz w:val="24"/>
          <w:highlight w:val="none"/>
        </w:rPr>
        <w:t>《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1EFA9E28">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739585A1">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1.3 建筑工程批准文件。</w:t>
      </w:r>
    </w:p>
    <w:p w14:paraId="536861D9">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07814B52">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olor w:val="auto"/>
          <w:sz w:val="24"/>
          <w:highlight w:val="none"/>
          <w:lang w:val="en-US" w:eastAsia="zh-CN"/>
        </w:rPr>
        <w:t>四川国际航展(ACC飞街片区)基础设施建设项目-房屋建设及附属设施商业配套提升改造工程(1号楼一层涉及面积约1300平方米商业进行提升改造，对该范围内已建部分墙体等设施进行拆除，新建健身房及游泳池)。</w:t>
      </w:r>
    </w:p>
    <w:p w14:paraId="55C773B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olor w:val="auto"/>
          <w:sz w:val="24"/>
          <w:highlight w:val="none"/>
          <w:lang w:val="en-US" w:eastAsia="zh-CN"/>
        </w:rPr>
      </w:pPr>
      <w:r>
        <w:rPr>
          <w:rFonts w:hint="eastAsia" w:ascii="宋体" w:hAnsi="宋体"/>
          <w:color w:val="auto"/>
          <w:sz w:val="24"/>
          <w:highlight w:val="none"/>
        </w:rPr>
        <w:t>2.2 项目地点：</w:t>
      </w:r>
      <w:r>
        <w:rPr>
          <w:rFonts w:hint="eastAsia" w:ascii="宋体" w:hAnsi="宋体"/>
          <w:color w:val="auto"/>
          <w:sz w:val="24"/>
          <w:highlight w:val="none"/>
          <w:lang w:val="en-US" w:eastAsia="zh-CN"/>
        </w:rPr>
        <w:t>广汉市。</w:t>
      </w:r>
    </w:p>
    <w:p w14:paraId="6D3CE57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2CC3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508E947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审查</w:t>
            </w:r>
          </w:p>
          <w:p w14:paraId="7DC7D5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涉及</w:t>
            </w:r>
          </w:p>
          <w:p w14:paraId="1C4801B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1718D15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B4A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2EFE094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p>
        </w:tc>
        <w:tc>
          <w:tcPr>
            <w:tcW w:w="7718" w:type="dxa"/>
            <w:noWrap w:val="0"/>
            <w:vAlign w:val="center"/>
          </w:tcPr>
          <w:p w14:paraId="61A78ED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风景园林</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557D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415321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 w:val="24"/>
                <w:highlight w:val="none"/>
              </w:rPr>
            </w:pPr>
          </w:p>
        </w:tc>
        <w:tc>
          <w:tcPr>
            <w:tcW w:w="7718" w:type="dxa"/>
            <w:noWrap w:val="0"/>
            <w:vAlign w:val="center"/>
          </w:tcPr>
          <w:p w14:paraId="4E8AF7E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0DE1FC7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42E6F8C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2.4  审查内容</w:t>
      </w:r>
    </w:p>
    <w:p w14:paraId="6664752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CB8BF0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6C6C59F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52F0121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FB7934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BD2EFE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662956C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4B6B31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3D6CAF9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178B1347">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31087BC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9AD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D42EF2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61A054A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5AD6291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7E0A957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6F95709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备 注</w:t>
            </w:r>
          </w:p>
        </w:tc>
      </w:tr>
      <w:tr w14:paraId="4648E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33A6F1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337C22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7AD50B5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788D251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2F38BA0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rPr>
              <w:t>网上委托</w:t>
            </w:r>
          </w:p>
        </w:tc>
      </w:tr>
      <w:tr w14:paraId="4B12F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458A4D5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0859E85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14:paraId="5F3D6E2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314E82B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3FD06E2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0A39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1315927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216F668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418539C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5E52F4B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1B34D04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lang w:val="en-US" w:eastAsia="zh-CN"/>
              </w:rPr>
              <w:t>电子版</w:t>
            </w:r>
          </w:p>
        </w:tc>
      </w:tr>
      <w:tr w14:paraId="72D8C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30F6C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1851768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43277EA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555269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31196EA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color w:val="auto"/>
                <w:szCs w:val="21"/>
                <w:highlight w:val="none"/>
              </w:rPr>
            </w:pPr>
            <w:r>
              <w:rPr>
                <w:rFonts w:hint="eastAsia" w:ascii="宋体"/>
                <w:color w:val="auto"/>
                <w:szCs w:val="21"/>
                <w:highlight w:val="none"/>
                <w:lang w:val="en-US" w:eastAsia="zh-CN"/>
              </w:rPr>
              <w:t>电子版</w:t>
            </w:r>
          </w:p>
        </w:tc>
      </w:tr>
    </w:tbl>
    <w:p w14:paraId="7289BF3A">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bookmarkStart w:id="1" w:name="_GoBack"/>
      <w:bookmarkEnd w:id="1"/>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7161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719045D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DA1DE0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6AA4DA4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0F4DB20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4E75BFF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备注</w:t>
            </w:r>
          </w:p>
        </w:tc>
      </w:tr>
      <w:tr w14:paraId="0D393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3520486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3251E1E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5F13E13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2D7FF46C">
            <w:pPr>
              <w:keepNext w:val="0"/>
              <w:keepLines w:val="0"/>
              <w:pageBreakBefore w:val="0"/>
              <w:widowControl w:val="0"/>
              <w:kinsoku/>
              <w:wordWrap/>
              <w:overflowPunct/>
              <w:topLinePunct w:val="0"/>
              <w:autoSpaceDE/>
              <w:autoSpaceDN/>
              <w:bidi w:val="0"/>
              <w:adjustRightInd/>
              <w:snapToGrid/>
              <w:spacing w:line="500" w:lineRule="exact"/>
              <w:ind w:leftChars="-1" w:hanging="2" w:hangingChars="1"/>
              <w:textAlignment w:val="auto"/>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r>
              <w:rPr>
                <w:rFonts w:hint="eastAsia" w:ascii="宋体" w:hAnsi="宋体"/>
                <w:color w:val="auto"/>
                <w:szCs w:val="21"/>
                <w:highlight w:val="none"/>
              </w:rPr>
              <w:t>日</w:t>
            </w:r>
            <w:r>
              <w:rPr>
                <w:rFonts w:hint="eastAsia" w:ascii="宋体" w:hAnsi="宋体"/>
                <w:color w:val="auto"/>
                <w:szCs w:val="21"/>
                <w:highlight w:val="none"/>
                <w:lang w:eastAsia="zh-CN"/>
              </w:rPr>
              <w:t>内</w:t>
            </w:r>
            <w:r>
              <w:rPr>
                <w:rFonts w:hint="eastAsia" w:ascii="宋体" w:hAnsi="宋体"/>
                <w:color w:val="auto"/>
                <w:szCs w:val="21"/>
                <w:highlight w:val="none"/>
              </w:rPr>
              <w:t>出具审查意见</w:t>
            </w:r>
            <w:r>
              <w:rPr>
                <w:rFonts w:hint="eastAsia" w:ascii="宋体" w:hAnsi="宋体"/>
                <w:color w:val="auto"/>
                <w:szCs w:val="21"/>
                <w:highlight w:val="none"/>
                <w:lang w:eastAsia="zh-CN"/>
              </w:rPr>
              <w:t>并</w:t>
            </w:r>
            <w:r>
              <w:rPr>
                <w:rFonts w:hint="eastAsia" w:ascii="宋体" w:hAnsi="宋体"/>
                <w:color w:val="auto"/>
                <w:szCs w:val="21"/>
                <w:highlight w:val="none"/>
              </w:rPr>
              <w:t>出具报告</w:t>
            </w:r>
          </w:p>
        </w:tc>
        <w:tc>
          <w:tcPr>
            <w:tcW w:w="1214" w:type="dxa"/>
            <w:vMerge w:val="restart"/>
            <w:noWrap w:val="0"/>
            <w:vAlign w:val="center"/>
          </w:tcPr>
          <w:p w14:paraId="0A693560">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015FD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B81812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7790F41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2CD4E3A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7E1BC889">
            <w:pPr>
              <w:keepNext w:val="0"/>
              <w:keepLines w:val="0"/>
              <w:pageBreakBefore w:val="0"/>
              <w:widowControl w:val="0"/>
              <w:kinsoku/>
              <w:wordWrap/>
              <w:overflowPunct/>
              <w:topLinePunct w:val="0"/>
              <w:autoSpaceDE/>
              <w:autoSpaceDN/>
              <w:bidi w:val="0"/>
              <w:adjustRightInd/>
              <w:snapToGrid/>
              <w:spacing w:line="500" w:lineRule="exact"/>
              <w:ind w:left="630" w:hanging="630" w:hangingChars="300"/>
              <w:textAlignment w:val="auto"/>
              <w:rPr>
                <w:rFonts w:hint="eastAsia" w:ascii="宋体" w:hAnsi="宋体"/>
                <w:color w:val="auto"/>
                <w:szCs w:val="21"/>
                <w:highlight w:val="none"/>
              </w:rPr>
            </w:pPr>
          </w:p>
        </w:tc>
        <w:tc>
          <w:tcPr>
            <w:tcW w:w="1214" w:type="dxa"/>
            <w:vMerge w:val="continue"/>
            <w:noWrap w:val="0"/>
            <w:vAlign w:val="center"/>
          </w:tcPr>
          <w:p w14:paraId="5D69264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r w14:paraId="1EDB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DB81FE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37D71D0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271BA31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6B3644E4">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1214" w:type="dxa"/>
            <w:vMerge w:val="continue"/>
            <w:noWrap w:val="0"/>
            <w:vAlign w:val="center"/>
          </w:tcPr>
          <w:p w14:paraId="2758A325">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r w14:paraId="20F0C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C8FA4B8">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2774C074">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10EBD76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2769" w:type="dxa"/>
            <w:vMerge w:val="continue"/>
            <w:noWrap w:val="0"/>
            <w:vAlign w:val="center"/>
          </w:tcPr>
          <w:p w14:paraId="56E782A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c>
          <w:tcPr>
            <w:tcW w:w="1214" w:type="dxa"/>
            <w:vMerge w:val="continue"/>
            <w:noWrap w:val="0"/>
            <w:vAlign w:val="center"/>
          </w:tcPr>
          <w:p w14:paraId="1A693D9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olor w:val="auto"/>
                <w:szCs w:val="21"/>
                <w:highlight w:val="none"/>
              </w:rPr>
            </w:pPr>
          </w:p>
        </w:tc>
      </w:tr>
    </w:tbl>
    <w:p w14:paraId="415E5AB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245FD99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5.1、审查咨询费用</w:t>
      </w:r>
    </w:p>
    <w:p w14:paraId="24121784">
      <w:pPr>
        <w:pStyle w:val="3"/>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szCs w:val="24"/>
          <w:highlight w:val="none"/>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p>
    <w:p w14:paraId="640AAE4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 xml:space="preserve">5.2、付款方式 </w:t>
      </w:r>
    </w:p>
    <w:p w14:paraId="17E4A9E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5.2.1乙方提交该项目全部图纸的审查报告及合格书，并完成主管部门施工图备案后,提交付款申请后15个工作日内，一次性付清全部费用。</w:t>
      </w:r>
    </w:p>
    <w:p w14:paraId="40AA9F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5.2.2</w:t>
      </w:r>
      <w:r>
        <w:rPr>
          <w:rFonts w:hint="default" w:ascii="宋体" w:hAnsi="宋体" w:cs="Times New Roman"/>
          <w:color w:val="auto"/>
          <w:sz w:val="24"/>
          <w:highlight w:val="none"/>
          <w:lang w:val="en-US" w:eastAsia="zh-CN"/>
        </w:rPr>
        <w:t>付款前，乙方应向甲方出具等额合法有效的增值税专用发票及付款申请材料，否则，甲方有权拒绝支付，且不承担任何迟延履行的法律责任。</w:t>
      </w:r>
    </w:p>
    <w:p w14:paraId="494B236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第六条  双方责任</w:t>
      </w:r>
    </w:p>
    <w:p w14:paraId="2629A05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047678F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59A2D9B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5B53AD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0B1B227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7966F7D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7248B9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 乙方责任</w:t>
      </w:r>
    </w:p>
    <w:p w14:paraId="263C391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6E17BAE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51512B0F">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3C0D13E1">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30F48605">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3F6E1620">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7C70A5C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7E9E7B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1</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072D6D3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28A7709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6F9CDEC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2FD877E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1040F8E2">
      <w:pPr>
        <w:keepNext w:val="0"/>
        <w:keepLines w:val="0"/>
        <w:pageBreakBefore w:val="0"/>
        <w:widowControl w:val="0"/>
        <w:kinsoku/>
        <w:wordWrap/>
        <w:overflowPunct/>
        <w:topLinePunct w:val="0"/>
        <w:autoSpaceDE/>
        <w:autoSpaceDN/>
        <w:bidi w:val="0"/>
        <w:adjustRightInd/>
        <w:snapToGrid/>
        <w:spacing w:line="500" w:lineRule="exact"/>
        <w:ind w:firstLine="562"/>
        <w:textAlignment w:val="auto"/>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A356D5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39D57F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21AD166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1BBE3F6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0D6C7F8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本合同一式伍份，甲方</w:t>
      </w:r>
      <w:r>
        <w:rPr>
          <w:rFonts w:hint="eastAsia" w:ascii="宋体" w:hAnsi="宋体"/>
          <w:color w:val="auto"/>
          <w:sz w:val="24"/>
          <w:highlight w:val="none"/>
          <w:lang w:val="en-US" w:eastAsia="zh-CN"/>
        </w:rPr>
        <w:t>叁</w:t>
      </w:r>
      <w:r>
        <w:rPr>
          <w:rFonts w:hint="eastAsia" w:ascii="宋体" w:hAnsi="宋体"/>
          <w:color w:val="auto"/>
          <w:sz w:val="24"/>
          <w:highlight w:val="none"/>
        </w:rPr>
        <w:t>份，乙方</w:t>
      </w:r>
      <w:r>
        <w:rPr>
          <w:rFonts w:hint="eastAsia" w:ascii="宋体" w:hAnsi="宋体"/>
          <w:color w:val="auto"/>
          <w:sz w:val="24"/>
          <w:highlight w:val="none"/>
          <w:lang w:val="en-US" w:eastAsia="zh-CN"/>
        </w:rPr>
        <w:t>贰</w:t>
      </w:r>
      <w:r>
        <w:rPr>
          <w:rFonts w:hint="eastAsia" w:ascii="宋体" w:hAnsi="宋体"/>
          <w:color w:val="auto"/>
          <w:sz w:val="24"/>
          <w:highlight w:val="none"/>
        </w:rPr>
        <w:t>份。</w:t>
      </w:r>
    </w:p>
    <w:p w14:paraId="272F530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4EE0F5A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olor w:val="auto"/>
          <w:sz w:val="24"/>
          <w:highlight w:val="none"/>
        </w:rPr>
      </w:pPr>
    </w:p>
    <w:p w14:paraId="14076412">
      <w:pPr>
        <w:keepNext w:val="0"/>
        <w:keepLines w:val="0"/>
        <w:pageBreakBefore w:val="0"/>
        <w:widowControl w:val="0"/>
        <w:kinsoku/>
        <w:wordWrap/>
        <w:overflowPunct/>
        <w:topLinePunct w:val="0"/>
        <w:autoSpaceDE/>
        <w:autoSpaceDN/>
        <w:bidi w:val="0"/>
        <w:adjustRightInd/>
        <w:snapToGrid/>
        <w:spacing w:line="500" w:lineRule="exact"/>
        <w:ind w:left="6000" w:right="-1413" w:rightChars="-673" w:hanging="6000" w:hangingChars="2500"/>
        <w:textAlignment w:val="auto"/>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47E57ED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5F82784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449C05C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66AB8D7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692B9F2">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48FCE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2277FE46">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66E06">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FF276B">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CFF276B">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NGJmZDc3ZjA3YTAwYjE2ODUyNTg5NDBhNjNiNzYifQ=="/>
  </w:docVars>
  <w:rsids>
    <w:rsidRoot w:val="00000000"/>
    <w:rsid w:val="0146180C"/>
    <w:rsid w:val="017259A6"/>
    <w:rsid w:val="03612D93"/>
    <w:rsid w:val="04484026"/>
    <w:rsid w:val="0B664CB3"/>
    <w:rsid w:val="0FB7664C"/>
    <w:rsid w:val="128D6FC9"/>
    <w:rsid w:val="1356748D"/>
    <w:rsid w:val="145E758E"/>
    <w:rsid w:val="1A623CC5"/>
    <w:rsid w:val="1E9811D0"/>
    <w:rsid w:val="209A62B1"/>
    <w:rsid w:val="20A86D37"/>
    <w:rsid w:val="22BA5BB9"/>
    <w:rsid w:val="266B71CA"/>
    <w:rsid w:val="27AB5272"/>
    <w:rsid w:val="2B8B1F4C"/>
    <w:rsid w:val="2D657C06"/>
    <w:rsid w:val="38727227"/>
    <w:rsid w:val="3ADF1040"/>
    <w:rsid w:val="3B737EDE"/>
    <w:rsid w:val="3F0A537A"/>
    <w:rsid w:val="3FB6784C"/>
    <w:rsid w:val="43763CA7"/>
    <w:rsid w:val="440F51E1"/>
    <w:rsid w:val="4B313C8F"/>
    <w:rsid w:val="4CCF4510"/>
    <w:rsid w:val="520779EE"/>
    <w:rsid w:val="58F5279F"/>
    <w:rsid w:val="59DB7BE7"/>
    <w:rsid w:val="59FE3FD8"/>
    <w:rsid w:val="5C961BA3"/>
    <w:rsid w:val="60B72158"/>
    <w:rsid w:val="68A62096"/>
    <w:rsid w:val="69E93C5A"/>
    <w:rsid w:val="6C2F69D8"/>
    <w:rsid w:val="709976F3"/>
    <w:rsid w:val="73330B58"/>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2733</Words>
  <Characters>2889</Characters>
  <Lines>0</Lines>
  <Paragraphs>0</Paragraphs>
  <TotalTime>0</TotalTime>
  <ScaleCrop>false</ScaleCrop>
  <LinksUpToDate>false</LinksUpToDate>
  <CharactersWithSpaces>3328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小毅哥</cp:lastModifiedBy>
  <cp:lastPrinted>2023-11-27T01:43:00Z</cp:lastPrinted>
  <dcterms:modified xsi:type="dcterms:W3CDTF">2024-12-10T08:44:45Z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FBC4198575F34B9CACABF9CB0A364357_13</vt:lpwstr>
  </property>
</Properties>
</file>