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066A8">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14:paraId="0AE97AEE">
      <w:pPr>
        <w:rPr>
          <w:rFonts w:hint="eastAsia"/>
          <w:color w:val="auto"/>
          <w:highlight w:val="none"/>
        </w:rPr>
      </w:pPr>
    </w:p>
    <w:p w14:paraId="16D184D3">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14:paraId="3FD9CE8C">
      <w:pPr>
        <w:spacing w:line="480" w:lineRule="auto"/>
        <w:rPr>
          <w:rFonts w:hint="eastAsia" w:ascii="黑体" w:eastAsia="黑体"/>
          <w:b/>
          <w:color w:val="auto"/>
          <w:sz w:val="24"/>
          <w:highlight w:val="none"/>
        </w:rPr>
      </w:pPr>
    </w:p>
    <w:p w14:paraId="7190BF0C">
      <w:pPr>
        <w:rPr>
          <w:rFonts w:hint="eastAsia" w:ascii="黑体" w:eastAsia="黑体"/>
          <w:b/>
          <w:color w:val="auto"/>
          <w:sz w:val="24"/>
          <w:highlight w:val="none"/>
        </w:rPr>
      </w:pPr>
    </w:p>
    <w:p w14:paraId="17C0FEC3">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14:paraId="38EC98F1">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14:paraId="5D021E9E">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14:paraId="43ECB3AC">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14:paraId="1A75F1F7">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14:paraId="3F9AB5D7">
      <w:pPr>
        <w:spacing w:line="780" w:lineRule="auto"/>
        <w:rPr>
          <w:rFonts w:hint="eastAsia" w:ascii="黑体" w:eastAsia="黑体"/>
          <w:b/>
          <w:color w:val="auto"/>
          <w:sz w:val="24"/>
          <w:highlight w:val="none"/>
          <w:u w:val="single"/>
        </w:rPr>
      </w:pPr>
    </w:p>
    <w:p w14:paraId="6072A183">
      <w:pPr>
        <w:spacing w:line="780" w:lineRule="auto"/>
        <w:rPr>
          <w:rFonts w:hint="eastAsia" w:ascii="黑体" w:eastAsia="黑体"/>
          <w:b/>
          <w:color w:val="auto"/>
          <w:sz w:val="24"/>
          <w:highlight w:val="none"/>
          <w:u w:val="single"/>
        </w:rPr>
      </w:pPr>
    </w:p>
    <w:p w14:paraId="22107CE0">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14:paraId="293C3DA9">
      <w:pPr>
        <w:spacing w:line="780" w:lineRule="auto"/>
        <w:jc w:val="center"/>
        <w:rPr>
          <w:rFonts w:hint="eastAsia" w:ascii="宋体" w:hAnsi="宋体"/>
          <w:color w:val="auto"/>
          <w:sz w:val="24"/>
          <w:highlight w:val="none"/>
        </w:rPr>
      </w:pPr>
    </w:p>
    <w:p w14:paraId="17764327">
      <w:pPr>
        <w:pStyle w:val="4"/>
        <w:rPr>
          <w:rFonts w:hint="eastAsia"/>
          <w:color w:val="auto"/>
          <w:highlight w:val="none"/>
        </w:rPr>
      </w:pPr>
    </w:p>
    <w:p w14:paraId="332D8329">
      <w:pPr>
        <w:rPr>
          <w:color w:val="auto"/>
          <w:highlight w:val="none"/>
        </w:rPr>
      </w:pPr>
    </w:p>
    <w:p w14:paraId="112F10AB">
      <w:pPr>
        <w:pStyle w:val="4"/>
        <w:jc w:val="center"/>
        <w:rPr>
          <w:rFonts w:hint="eastAsia" w:ascii="宋体" w:hAnsi="宋体"/>
          <w:b/>
          <w:bCs/>
          <w:color w:val="auto"/>
          <w:sz w:val="36"/>
          <w:szCs w:val="36"/>
          <w:highlight w:val="none"/>
        </w:rPr>
      </w:pPr>
    </w:p>
    <w:p w14:paraId="60D32E8E">
      <w:pPr>
        <w:pStyle w:val="4"/>
        <w:jc w:val="center"/>
        <w:rPr>
          <w:rFonts w:hint="eastAsia" w:ascii="宋体" w:hAnsi="宋体"/>
          <w:b/>
          <w:bCs/>
          <w:color w:val="auto"/>
          <w:sz w:val="36"/>
          <w:szCs w:val="36"/>
          <w:highlight w:val="none"/>
        </w:rPr>
      </w:pPr>
    </w:p>
    <w:p w14:paraId="54448FE1">
      <w:pPr>
        <w:pStyle w:val="4"/>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14:paraId="3F9B0C93">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14:paraId="67DB5097">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14:paraId="3ED4D5EF">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s="Times New Roman"/>
          <w:color w:val="auto"/>
          <w:sz w:val="24"/>
          <w:highlight w:val="none"/>
          <w:lang w:val="en-US" w:eastAsia="zh-CN"/>
        </w:rPr>
        <w:t>德阳高新区汽车产业园配套提升基础设施建设项目-游学路西段施工图审查</w:t>
      </w:r>
      <w:r>
        <w:rPr>
          <w:rFonts w:hint="eastAsia" w:ascii="宋体" w:hAnsi="宋体" w:cs="Times New Roman"/>
          <w:color w:val="auto"/>
          <w:sz w:val="24"/>
          <w:highlight w:val="none"/>
        </w:rPr>
        <w:t>工作</w:t>
      </w:r>
      <w:r>
        <w:rPr>
          <w:rFonts w:hint="eastAsia" w:ascii="宋体" w:hAnsi="宋体"/>
          <w:color w:val="auto"/>
          <w:sz w:val="24"/>
          <w:highlight w:val="none"/>
        </w:rPr>
        <w:t>，经双方协商一致，签订本合同，以兹遵守。</w:t>
      </w:r>
    </w:p>
    <w:p w14:paraId="5B075E1F">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14:paraId="715A2704">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14:paraId="06F20801">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14:paraId="61E2E6F4">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14:paraId="3513B89E">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14:paraId="557D0E1C">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s="Times New Roman"/>
          <w:color w:val="auto"/>
          <w:sz w:val="24"/>
          <w:highlight w:val="none"/>
          <w:lang w:val="en-US" w:eastAsia="zh-CN"/>
        </w:rPr>
        <w:t>新建长约271米，宽约20米；包含道路工程、交通工程、排水工程、照明工程等园区配套道路及管网基础设施。</w:t>
      </w:r>
    </w:p>
    <w:p w14:paraId="14F2F31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w:t>
      </w:r>
    </w:p>
    <w:p w14:paraId="5DD5DF19">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14:paraId="7FF5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14:paraId="35BD7315">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14:paraId="02589C16">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14:paraId="0D843778">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14:paraId="5375AA68">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14:paraId="18BAE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14:paraId="5CB96DD1">
            <w:pPr>
              <w:spacing w:line="360" w:lineRule="auto"/>
              <w:jc w:val="center"/>
              <w:rPr>
                <w:rFonts w:hint="eastAsia" w:ascii="宋体" w:hAnsi="宋体"/>
                <w:color w:val="auto"/>
                <w:sz w:val="24"/>
                <w:highlight w:val="none"/>
              </w:rPr>
            </w:pPr>
          </w:p>
        </w:tc>
        <w:tc>
          <w:tcPr>
            <w:tcW w:w="7718" w:type="dxa"/>
            <w:noWrap w:val="0"/>
            <w:vAlign w:val="center"/>
          </w:tcPr>
          <w:p w14:paraId="0F5FB560">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w:t>
            </w:r>
            <w:r>
              <w:rPr>
                <w:rFonts w:hint="eastAsia" w:ascii="宋体" w:hAnsi="宋体"/>
                <w:color w:val="auto"/>
                <w:sz w:val="24"/>
                <w:szCs w:val="24"/>
                <w:highlight w:val="none"/>
                <w:lang w:eastAsia="zh-CN"/>
              </w:rPr>
              <w:t>绿化</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14:paraId="67C5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14:paraId="6873F94D">
            <w:pPr>
              <w:spacing w:line="360" w:lineRule="auto"/>
              <w:jc w:val="center"/>
              <w:rPr>
                <w:rFonts w:hint="eastAsia" w:ascii="宋体" w:hAnsi="宋体"/>
                <w:color w:val="auto"/>
                <w:sz w:val="24"/>
                <w:highlight w:val="none"/>
              </w:rPr>
            </w:pPr>
          </w:p>
        </w:tc>
        <w:tc>
          <w:tcPr>
            <w:tcW w:w="7718" w:type="dxa"/>
            <w:noWrap w:val="0"/>
            <w:vAlign w:val="center"/>
          </w:tcPr>
          <w:p w14:paraId="16B96936">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14:paraId="1DF358D8">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14:paraId="33294EB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14:paraId="168F4CAA">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14:paraId="3FA541E6">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14:paraId="2D231280">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14:paraId="302136D0">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14:paraId="1D53DE1B">
      <w:pPr>
        <w:spacing w:line="360" w:lineRule="auto"/>
        <w:ind w:firstLine="480" w:firstLineChars="200"/>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14:paraId="65B14357">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14:paraId="7BA97615">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14:paraId="79BE8DF0">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14:paraId="1E8CCD77">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14:paraId="0D56FEDD">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14:paraId="73CB4B7A">
      <w:pPr>
        <w:spacing w:line="360" w:lineRule="auto"/>
        <w:ind w:firstLine="480" w:firstLineChars="200"/>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14:paraId="1FC2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0E939797">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14:paraId="286177F9">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14:paraId="4E364865">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14:paraId="3DD0A631">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14:paraId="21637F50">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14:paraId="0F6F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2F4297F">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14:paraId="76213AA5">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14:paraId="32AE5A5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075F78C">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14:paraId="0B0899BD">
            <w:pPr>
              <w:spacing w:line="360" w:lineRule="auto"/>
              <w:jc w:val="center"/>
              <w:rPr>
                <w:rFonts w:ascii="宋体"/>
                <w:color w:val="auto"/>
                <w:szCs w:val="21"/>
                <w:highlight w:val="none"/>
              </w:rPr>
            </w:pPr>
            <w:r>
              <w:rPr>
                <w:rFonts w:hint="eastAsia" w:ascii="宋体"/>
                <w:color w:val="auto"/>
                <w:szCs w:val="21"/>
                <w:highlight w:val="none"/>
              </w:rPr>
              <w:t>网上委托</w:t>
            </w:r>
          </w:p>
        </w:tc>
      </w:tr>
      <w:tr w14:paraId="0F94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879CD59">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14:paraId="1D9A6B5C">
            <w:pPr>
              <w:spacing w:line="360" w:lineRule="auto"/>
              <w:jc w:val="center"/>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14:paraId="424981B0">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B9EB3F0">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74A717">
            <w:pPr>
              <w:spacing w:line="360" w:lineRule="auto"/>
              <w:jc w:val="center"/>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14:paraId="369E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5D05138">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14:paraId="3F139A2D">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14:paraId="6938ED51">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430CCCA">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0E64A5">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AA78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E687B55">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14:paraId="7183F325">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14:paraId="17B8E16B">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8332C4D">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2C4E9952">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E830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18C0A563">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14:paraId="71E57D9D">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14:paraId="4D55C33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5B34DDF">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63355FDF">
            <w:pPr>
              <w:spacing w:line="360" w:lineRule="auto"/>
              <w:jc w:val="center"/>
              <w:rPr>
                <w:rFonts w:ascii="宋体"/>
                <w:color w:val="auto"/>
                <w:szCs w:val="21"/>
                <w:highlight w:val="none"/>
              </w:rPr>
            </w:pPr>
            <w:r>
              <w:rPr>
                <w:rFonts w:hint="eastAsia" w:ascii="宋体"/>
                <w:color w:val="auto"/>
                <w:szCs w:val="21"/>
                <w:highlight w:val="none"/>
              </w:rPr>
              <w:t>复印件</w:t>
            </w:r>
          </w:p>
        </w:tc>
      </w:tr>
    </w:tbl>
    <w:p w14:paraId="67134F26">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14:paraId="256E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14:paraId="2E3D8ADC">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14:paraId="00018672">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14:paraId="45A97B41">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14:paraId="17EAB17B">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14:paraId="3230DBFD">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14:paraId="51ED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830A8DB">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14:paraId="48C7DBD3">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14:paraId="2A068223">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14:paraId="1FF1082B">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个</w:t>
            </w:r>
            <w:r>
              <w:rPr>
                <w:rFonts w:hint="eastAsia" w:ascii="宋体" w:hAnsi="宋体"/>
                <w:color w:val="auto"/>
                <w:szCs w:val="21"/>
                <w:highlight w:val="none"/>
              </w:rPr>
              <w:t>工作日出具审查意见，收到回复确认后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个工作日出具报告</w:t>
            </w:r>
          </w:p>
        </w:tc>
        <w:tc>
          <w:tcPr>
            <w:tcW w:w="1214" w:type="dxa"/>
            <w:vMerge w:val="restart"/>
            <w:noWrap w:val="0"/>
            <w:vAlign w:val="center"/>
          </w:tcPr>
          <w:p w14:paraId="283459AC">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14:paraId="1DD4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60EF7CB1">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14:paraId="663456C2">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14:paraId="0D6A706D">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4BE76BB1">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14:paraId="112D3AB9">
            <w:pPr>
              <w:spacing w:line="360" w:lineRule="auto"/>
              <w:jc w:val="center"/>
              <w:rPr>
                <w:rFonts w:hint="eastAsia" w:ascii="宋体" w:hAnsi="宋体"/>
                <w:color w:val="auto"/>
                <w:szCs w:val="21"/>
                <w:highlight w:val="none"/>
              </w:rPr>
            </w:pPr>
          </w:p>
        </w:tc>
      </w:tr>
      <w:tr w14:paraId="45B8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2D0FC92F">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14:paraId="4F04C252">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14:paraId="079DEDA7">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08C2FB00">
            <w:pPr>
              <w:spacing w:line="360" w:lineRule="auto"/>
              <w:jc w:val="center"/>
              <w:rPr>
                <w:rFonts w:hint="eastAsia" w:ascii="宋体" w:hAnsi="宋体"/>
                <w:color w:val="auto"/>
                <w:szCs w:val="21"/>
                <w:highlight w:val="none"/>
              </w:rPr>
            </w:pPr>
          </w:p>
        </w:tc>
        <w:tc>
          <w:tcPr>
            <w:tcW w:w="1214" w:type="dxa"/>
            <w:vMerge w:val="continue"/>
            <w:noWrap w:val="0"/>
            <w:vAlign w:val="center"/>
          </w:tcPr>
          <w:p w14:paraId="3845084D">
            <w:pPr>
              <w:spacing w:line="360" w:lineRule="auto"/>
              <w:jc w:val="center"/>
              <w:rPr>
                <w:rFonts w:hint="eastAsia" w:ascii="宋体" w:hAnsi="宋体"/>
                <w:color w:val="auto"/>
                <w:szCs w:val="21"/>
                <w:highlight w:val="none"/>
              </w:rPr>
            </w:pPr>
          </w:p>
        </w:tc>
      </w:tr>
      <w:tr w14:paraId="4B24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0ACD9465">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14:paraId="590B08F8">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14:paraId="3B25CCF3">
            <w:pPr>
              <w:spacing w:line="360" w:lineRule="auto"/>
              <w:jc w:val="center"/>
              <w:rPr>
                <w:rFonts w:hint="eastAsia" w:ascii="宋体" w:hAnsi="宋体"/>
                <w:color w:val="auto"/>
                <w:szCs w:val="21"/>
                <w:highlight w:val="none"/>
              </w:rPr>
            </w:pPr>
          </w:p>
        </w:tc>
        <w:tc>
          <w:tcPr>
            <w:tcW w:w="2769" w:type="dxa"/>
            <w:vMerge w:val="continue"/>
            <w:noWrap w:val="0"/>
            <w:vAlign w:val="center"/>
          </w:tcPr>
          <w:p w14:paraId="538755D8">
            <w:pPr>
              <w:spacing w:line="360" w:lineRule="auto"/>
              <w:jc w:val="center"/>
              <w:rPr>
                <w:rFonts w:hint="eastAsia" w:ascii="宋体" w:hAnsi="宋体"/>
                <w:color w:val="auto"/>
                <w:szCs w:val="21"/>
                <w:highlight w:val="none"/>
              </w:rPr>
            </w:pPr>
          </w:p>
        </w:tc>
        <w:tc>
          <w:tcPr>
            <w:tcW w:w="1214" w:type="dxa"/>
            <w:vMerge w:val="continue"/>
            <w:noWrap w:val="0"/>
            <w:vAlign w:val="center"/>
          </w:tcPr>
          <w:p w14:paraId="7BA26271">
            <w:pPr>
              <w:spacing w:line="360" w:lineRule="auto"/>
              <w:jc w:val="center"/>
              <w:rPr>
                <w:rFonts w:hint="eastAsia" w:ascii="宋体" w:hAnsi="宋体"/>
                <w:color w:val="auto"/>
                <w:szCs w:val="21"/>
                <w:highlight w:val="none"/>
              </w:rPr>
            </w:pPr>
          </w:p>
        </w:tc>
      </w:tr>
    </w:tbl>
    <w:p w14:paraId="50084BA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14:paraId="3956BDE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14:paraId="0E8FDF8B">
      <w:pPr>
        <w:pStyle w:val="3"/>
        <w:spacing w:line="360" w:lineRule="auto"/>
        <w:ind w:firstLine="480" w:firstLineChars="200"/>
        <w:rPr>
          <w:rFonts w:hint="eastAsia" w:ascii="宋体" w:hAnsi="宋体" w:eastAsia="宋体"/>
          <w:color w:val="auto"/>
          <w:sz w:val="24"/>
          <w:szCs w:val="24"/>
          <w:highlight w:val="none"/>
          <w:lang w:val="en-US" w:eastAsia="zh-CN"/>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，税率为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w:t>
      </w:r>
      <w:r>
        <w:rPr>
          <w:rFonts w:hint="eastAsia"/>
          <w:color w:val="auto"/>
          <w:sz w:val="24"/>
          <w:szCs w:val="24"/>
          <w:highlight w:val="none"/>
          <w:lang w:eastAsia="zh-CN"/>
        </w:rPr>
        <w:t>。</w:t>
      </w:r>
    </w:p>
    <w:p w14:paraId="4F3DC0E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14:paraId="0C78B4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乙方提交该项目全部图纸的审查报告及合格书，并配合</w:t>
      </w:r>
      <w:bookmarkStart w:id="1" w:name="_GoBack"/>
      <w:bookmarkEnd w:id="1"/>
      <w:r>
        <w:rPr>
          <w:rFonts w:hint="eastAsia" w:ascii="宋体" w:hAnsi="宋体" w:cs="Times New Roman"/>
          <w:color w:val="auto"/>
          <w:sz w:val="24"/>
          <w:highlight w:val="none"/>
          <w:lang w:val="en-US" w:eastAsia="zh-CN"/>
        </w:rPr>
        <w:t>完成主管部门施工图备案后，提交付款申请后15个工作日内，一次性付清全部费用。</w:t>
      </w:r>
    </w:p>
    <w:p w14:paraId="656EA5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s="Times New Roman"/>
          <w:color w:val="auto"/>
          <w:sz w:val="24"/>
          <w:highlight w:val="none"/>
          <w:lang w:val="en-US" w:eastAsia="zh-CN"/>
        </w:rPr>
        <w:t>付款前，乙方应提供等额的真实合法有效增值税专用发票及付款申请等资料。否则甲方有权拒绝付款且不承担迟延履行的法律责任。</w:t>
      </w:r>
      <w:r>
        <w:rPr>
          <w:rFonts w:hint="eastAsia" w:ascii="宋体" w:hAnsi="宋体"/>
          <w:color w:val="auto"/>
          <w:sz w:val="24"/>
          <w:highlight w:val="none"/>
        </w:rPr>
        <w:t xml:space="preserve">    </w:t>
      </w:r>
    </w:p>
    <w:p w14:paraId="1137A32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第六条  双方责任</w:t>
      </w:r>
    </w:p>
    <w:p w14:paraId="270BEF91">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14:paraId="627CE1B3">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14:paraId="75F5666E">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14:paraId="66445693">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14:paraId="533DC5BE">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14:paraId="4739468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14:paraId="20D0D27A">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14:paraId="49697501">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14:paraId="3F7C7DCE">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14:paraId="4C6B7D5E">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14:paraId="2A0EAE25">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14:paraId="5D890851">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14:paraId="0BDFDF87">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14:paraId="4FD1F877">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14:paraId="4396291D">
      <w:pPr>
        <w:spacing w:line="360" w:lineRule="auto"/>
        <w:rPr>
          <w:rFonts w:hint="eastAsia" w:asciiTheme="minorEastAsia" w:hAnsiTheme="minorEastAsia" w:eastAsiaTheme="minorEastAsia" w:cstheme="minorEastAsia"/>
          <w:color w:val="auto"/>
          <w:sz w:val="24"/>
          <w:highlight w:val="none"/>
        </w:rPr>
      </w:pPr>
      <w:r>
        <w:rPr>
          <w:rFonts w:hint="eastAsia" w:ascii="黑体" w:hAnsi="宋体" w:eastAsia="黑体"/>
          <w:b/>
          <w:color w:val="auto"/>
          <w:sz w:val="24"/>
          <w:highlight w:val="none"/>
        </w:rPr>
        <w:t xml:space="preserve">   </w:t>
      </w:r>
      <w:r>
        <w:rPr>
          <w:rFonts w:hint="eastAsia" w:asciiTheme="minorEastAsia" w:hAnsiTheme="minorEastAsia" w:eastAsiaTheme="minorEastAsia" w:cstheme="minorEastAsia"/>
          <w:b/>
          <w:color w:val="auto"/>
          <w:sz w:val="24"/>
          <w:highlight w:val="none"/>
        </w:rPr>
        <w:t xml:space="preserve"> </w:t>
      </w:r>
      <w:r>
        <w:rPr>
          <w:rFonts w:hint="eastAsia" w:asciiTheme="minorEastAsia" w:hAnsiTheme="minorEastAsia" w:eastAsiaTheme="minorEastAsia" w:cstheme="minorEastAsia"/>
          <w:color w:val="auto"/>
          <w:sz w:val="24"/>
          <w:highlight w:val="none"/>
        </w:rPr>
        <w:t>7.1在合同履行期间，甲方要求中止或解除合同，已开始审查咨询工作的，甲方应根据乙方已进行的实际工作量，不足一半时，按该阶段审查咨询费的一半支付；超过一半时，按该阶段审查咨询费的全部支付。</w:t>
      </w:r>
    </w:p>
    <w:p w14:paraId="3762FCF3">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14:paraId="75DB7E16">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由于乙方自身原因，延误了按本合同第四条规定的文件交付时间，应按审查咨询费总额20%向甲方承担违约金；。</w:t>
      </w:r>
    </w:p>
    <w:p w14:paraId="19D5D50B">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合同生效后，乙方要求终止或解除合同，应当返还已付审查咨询费，并按照审查咨询费总额20%向甲方支付违约金。</w:t>
      </w:r>
    </w:p>
    <w:p w14:paraId="21AF3489">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5</w:t>
      </w:r>
      <w:r>
        <w:rPr>
          <w:rFonts w:hint="eastAsia" w:asciiTheme="minorEastAsia" w:hAnsiTheme="minorEastAsia" w:eastAsiaTheme="minorEastAsia" w:cstheme="minorEastAsia"/>
          <w:color w:val="auto"/>
          <w:sz w:val="24"/>
          <w:highlight w:val="none"/>
        </w:rPr>
        <w:t>乙方违约除承担违约金外，还应承担甲方全部损失，包括但不限于甲方为主张权利产生的诉讼费、保全费、保全保险费、律师费、公证费、差旅费等全部费用。</w:t>
      </w:r>
    </w:p>
    <w:p w14:paraId="0898DEEE">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14:paraId="0250DA7F">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14:paraId="2F29528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14:paraId="59822CF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14:paraId="03D0F42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14:paraId="4D50871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14:paraId="127EE74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本合同一式伍份，甲方</w:t>
      </w:r>
      <w:r>
        <w:rPr>
          <w:rFonts w:hint="eastAsia" w:ascii="宋体" w:hAnsi="宋体"/>
          <w:color w:val="auto"/>
          <w:sz w:val="24"/>
          <w:highlight w:val="none"/>
          <w:lang w:val="en-US" w:eastAsia="zh-CN"/>
        </w:rPr>
        <w:t>叁</w:t>
      </w:r>
      <w:r>
        <w:rPr>
          <w:rFonts w:hint="eastAsia" w:ascii="宋体" w:hAnsi="宋体"/>
          <w:color w:val="auto"/>
          <w:sz w:val="24"/>
          <w:highlight w:val="none"/>
        </w:rPr>
        <w:t>份，乙方</w:t>
      </w:r>
      <w:r>
        <w:rPr>
          <w:rFonts w:hint="eastAsia" w:ascii="宋体" w:hAnsi="宋体"/>
          <w:color w:val="auto"/>
          <w:sz w:val="24"/>
          <w:highlight w:val="none"/>
          <w:lang w:val="en-US" w:eastAsia="zh-CN"/>
        </w:rPr>
        <w:t>贰</w:t>
      </w:r>
      <w:r>
        <w:rPr>
          <w:rFonts w:hint="eastAsia" w:ascii="宋体" w:hAnsi="宋体"/>
          <w:color w:val="auto"/>
          <w:sz w:val="24"/>
          <w:highlight w:val="none"/>
        </w:rPr>
        <w:t>份。</w:t>
      </w:r>
    </w:p>
    <w:p w14:paraId="4123AD9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14:paraId="11F4CA12">
      <w:pPr>
        <w:spacing w:line="360" w:lineRule="auto"/>
        <w:rPr>
          <w:rFonts w:hint="eastAsia" w:ascii="宋体" w:hAnsi="宋体"/>
          <w:color w:val="auto"/>
          <w:sz w:val="24"/>
          <w:highlight w:val="none"/>
        </w:rPr>
      </w:pPr>
    </w:p>
    <w:p w14:paraId="08C92F0B">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14:paraId="5CE5DC7E">
      <w:pPr>
        <w:spacing w:line="360" w:lineRule="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14:paraId="11CC40A2">
      <w:pPr>
        <w:spacing w:line="360" w:lineRule="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14:paraId="0BF53E6C">
      <w:pPr>
        <w:spacing w:line="360" w:lineRule="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14:paraId="23E65565">
      <w:pPr>
        <w:spacing w:line="360" w:lineRule="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14:paraId="2469609D">
      <w:pPr>
        <w:spacing w:line="360" w:lineRule="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14:paraId="2833855F">
      <w:pPr>
        <w:spacing w:line="360" w:lineRule="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14:paraId="108C642D">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77BAF">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F14D89">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F14D89">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146180C"/>
    <w:rsid w:val="03612D93"/>
    <w:rsid w:val="145E758E"/>
    <w:rsid w:val="1A623CC5"/>
    <w:rsid w:val="26ED3D9B"/>
    <w:rsid w:val="2B8B1F4C"/>
    <w:rsid w:val="2D657C06"/>
    <w:rsid w:val="2F565F0D"/>
    <w:rsid w:val="38727227"/>
    <w:rsid w:val="3FB6784C"/>
    <w:rsid w:val="43763CA7"/>
    <w:rsid w:val="49272742"/>
    <w:rsid w:val="49514B55"/>
    <w:rsid w:val="4CCF4510"/>
    <w:rsid w:val="4F8C5808"/>
    <w:rsid w:val="520779EE"/>
    <w:rsid w:val="535F11C3"/>
    <w:rsid w:val="60B72158"/>
    <w:rsid w:val="68A62096"/>
    <w:rsid w:val="73330B58"/>
    <w:rsid w:val="798157A6"/>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2759</Words>
  <Characters>2900</Characters>
  <Lines>0</Lines>
  <Paragraphs>0</Paragraphs>
  <TotalTime>2</TotalTime>
  <ScaleCrop>false</ScaleCrop>
  <LinksUpToDate>false</LinksUpToDate>
  <CharactersWithSpaces>3398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凸^-^凸</cp:lastModifiedBy>
  <cp:lastPrinted>2024-10-14T01:42:00Z</cp:lastPrinted>
  <dcterms:modified xsi:type="dcterms:W3CDTF">2024-12-09T03:52:08Z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2A0B962B32534305B425C4163FDEBB20_13</vt:lpwstr>
  </property>
</Properties>
</file>