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>建材产业园回填土方处置竞价服务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>
      <w:pPr>
        <w:pStyle w:val="2"/>
        <w:rPr>
          <w:rFonts w:hint="eastAsia"/>
          <w:lang w:eastAsia="zh-CN"/>
        </w:rPr>
      </w:pP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422"/>
        <w:gridCol w:w="2177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成交额（万元）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差额定率累进收费标准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费用承担对象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5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□委托方</w:t>
            </w:r>
          </w:p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☑竞得人</w:t>
            </w:r>
          </w:p>
          <w:p>
            <w:pPr>
              <w:pStyle w:val="2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5"/>
              <w:jc w:val="center"/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□委托方</w:t>
            </w:r>
          </w:p>
          <w:p>
            <w:pPr>
              <w:pStyle w:val="5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和竞得人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100万元（不含）以上~500万元（含）以下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500万元（不含）以上~1000万元（含）以下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1000万元（不含）以上~5000万元（含）以下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5000万元（含）以上~10000万元（不含）以下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10000万元（含）以上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采用上述差额定率累进收费标准收取拍卖佣金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竞价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、编制、会务费、人工费、材料费、交通费、差旅费、税费、利润、保险费等为完成本项目约定服务的所有费用，以及后续服务费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3345B5A"/>
    <w:rsid w:val="2E73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2025-02-13T08:18:49Z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