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6B737">
      <w:pPr>
        <w:pStyle w:val="2"/>
        <w:keepNext/>
        <w:keepLines/>
        <w:pageBreakBefore w:val="0"/>
        <w:widowControl w:val="0"/>
        <w:numPr>
          <w:ilvl w:val="0"/>
          <w:numId w:val="1"/>
        </w:numPr>
        <w:kinsoku/>
        <w:wordWrap/>
        <w:overflowPunct/>
        <w:topLinePunct w:val="0"/>
        <w:autoSpaceDE/>
        <w:autoSpaceDN/>
        <w:bidi w:val="0"/>
        <w:adjustRightInd/>
        <w:snapToGrid/>
        <w:spacing w:before="0" w:after="0" w:line="360" w:lineRule="auto"/>
        <w:jc w:val="center"/>
        <w:textAlignment w:val="auto"/>
        <w:rPr>
          <w:rFonts w:hint="eastAsia" w:ascii="仿宋" w:hAnsi="仿宋" w:eastAsia="仿宋" w:cs="仿宋"/>
          <w:b/>
          <w:bCs w:val="0"/>
          <w:color w:val="auto"/>
          <w:kern w:val="2"/>
          <w:sz w:val="36"/>
          <w:szCs w:val="36"/>
          <w:highlight w:val="none"/>
          <w:lang w:val="en-US" w:eastAsia="zh-CN" w:bidi="ar-SA"/>
        </w:rPr>
      </w:pPr>
      <w:r>
        <w:rPr>
          <w:rFonts w:hint="eastAsia" w:ascii="仿宋" w:hAnsi="仿宋" w:eastAsia="仿宋" w:cs="仿宋"/>
          <w:b/>
          <w:bCs w:val="0"/>
          <w:color w:val="auto"/>
          <w:kern w:val="2"/>
          <w:sz w:val="36"/>
          <w:szCs w:val="36"/>
          <w:highlight w:val="none"/>
          <w:lang w:val="en-US" w:eastAsia="zh-CN" w:bidi="ar-SA"/>
        </w:rPr>
        <w:t xml:space="preserve"> </w:t>
      </w:r>
      <w:bookmarkStart w:id="0" w:name="_Toc5830"/>
      <w:r>
        <w:rPr>
          <w:rFonts w:hint="eastAsia" w:ascii="仿宋" w:hAnsi="仿宋" w:eastAsia="仿宋" w:cs="仿宋"/>
          <w:b/>
          <w:bCs w:val="0"/>
          <w:color w:val="auto"/>
          <w:kern w:val="2"/>
          <w:sz w:val="36"/>
          <w:szCs w:val="36"/>
          <w:highlight w:val="none"/>
          <w:lang w:val="en-US" w:eastAsia="zh-CN" w:bidi="ar-SA"/>
        </w:rPr>
        <w:t>合同条款及格式</w:t>
      </w:r>
      <w:bookmarkEnd w:id="0"/>
    </w:p>
    <w:p w14:paraId="4DB113B1">
      <w:pPr>
        <w:pStyle w:val="6"/>
        <w:ind w:firstLine="0" w:firstLineChars="0"/>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（本合同主要条款作为双方签订合同的参考，但不得与</w:t>
      </w:r>
      <w:r>
        <w:rPr>
          <w:rFonts w:hint="eastAsia" w:ascii="仿宋" w:hAnsi="仿宋" w:eastAsia="仿宋" w:cs="仿宋"/>
          <w:bCs/>
          <w:caps/>
          <w:color w:val="auto"/>
          <w:szCs w:val="24"/>
          <w:highlight w:val="none"/>
          <w:lang w:val="en-US" w:eastAsia="zh-CN"/>
        </w:rPr>
        <w:t>磋商</w:t>
      </w:r>
      <w:r>
        <w:rPr>
          <w:rFonts w:hint="eastAsia" w:ascii="仿宋" w:hAnsi="仿宋" w:eastAsia="仿宋" w:cs="仿宋"/>
          <w:bCs/>
          <w:caps/>
          <w:color w:val="auto"/>
          <w:szCs w:val="24"/>
          <w:highlight w:val="none"/>
        </w:rPr>
        <w:t>文件的实质性内容相背离，以最终签订的合同文本为准。）</w:t>
      </w:r>
    </w:p>
    <w:p w14:paraId="245CC3FC">
      <w:pPr>
        <w:rPr>
          <w:rFonts w:hint="eastAsia" w:ascii="仿宋" w:hAnsi="仿宋" w:eastAsia="仿宋" w:cs="仿宋"/>
          <w:color w:val="auto"/>
          <w:sz w:val="28"/>
          <w:szCs w:val="28"/>
          <w:highlight w:val="none"/>
        </w:rPr>
      </w:pPr>
      <w:bookmarkStart w:id="1" w:name="_Toc24716"/>
      <w:bookmarkStart w:id="2" w:name="_Toc96096662"/>
    </w:p>
    <w:p w14:paraId="45C5BD47">
      <w:pPr>
        <w:pStyle w:val="3"/>
        <w:rPr>
          <w:rFonts w:hint="eastAsia" w:ascii="仿宋" w:hAnsi="仿宋" w:eastAsia="仿宋" w:cs="仿宋"/>
          <w:color w:val="auto"/>
          <w:sz w:val="28"/>
          <w:szCs w:val="28"/>
          <w:highlight w:val="none"/>
        </w:rPr>
      </w:pPr>
    </w:p>
    <w:p w14:paraId="7784FEE0">
      <w:pPr>
        <w:rPr>
          <w:rFonts w:hint="eastAsia" w:ascii="仿宋" w:hAnsi="仿宋" w:eastAsia="仿宋" w:cs="仿宋"/>
          <w:color w:val="auto"/>
          <w:sz w:val="28"/>
          <w:szCs w:val="28"/>
          <w:highlight w:val="none"/>
        </w:rPr>
      </w:pPr>
    </w:p>
    <w:p w14:paraId="4584B797">
      <w:pPr>
        <w:pStyle w:val="3"/>
        <w:rPr>
          <w:rFonts w:hint="eastAsia"/>
        </w:rPr>
      </w:pPr>
    </w:p>
    <w:bookmarkEnd w:id="1"/>
    <w:bookmarkEnd w:id="2"/>
    <w:p w14:paraId="1B1EFD28">
      <w:pPr>
        <w:snapToGrid w:val="0"/>
        <w:spacing w:line="600" w:lineRule="auto"/>
        <w:ind w:right="756" w:rightChars="360" w:firstLine="960" w:firstLineChars="400"/>
        <w:rPr>
          <w:rFonts w:ascii="仿宋" w:hAnsi="仿宋" w:eastAsia="仿宋" w:cs="仿宋"/>
          <w:bCs/>
          <w:color w:val="000000" w:themeColor="text1"/>
          <w:sz w:val="24"/>
          <w:u w:val="single"/>
          <w14:textFill>
            <w14:solidFill>
              <w14:schemeClr w14:val="tx1"/>
            </w14:solidFill>
          </w14:textFill>
        </w:rPr>
      </w:pPr>
      <w:bookmarkStart w:id="3" w:name="_Toc11104"/>
      <w:bookmarkStart w:id="4" w:name="_Toc19204"/>
      <w:bookmarkStart w:id="5" w:name="_Toc21811"/>
      <w:bookmarkStart w:id="6" w:name="_Toc24603"/>
      <w:bookmarkStart w:id="7" w:name="_Toc460850006"/>
      <w:r>
        <w:rPr>
          <w:rFonts w:hint="eastAsia" w:ascii="仿宋" w:hAnsi="仿宋" w:eastAsia="仿宋" w:cs="仿宋"/>
          <w:color w:val="000000" w:themeColor="text1"/>
          <w:sz w:val="24"/>
          <w14:textFill>
            <w14:solidFill>
              <w14:schemeClr w14:val="tx1"/>
            </w14:solidFill>
          </w14:textFill>
        </w:rPr>
        <w:t>工程名称：</w:t>
      </w:r>
      <w:r>
        <w:rPr>
          <w:rFonts w:hint="eastAsia" w:ascii="仿宋" w:hAnsi="仿宋" w:eastAsia="仿宋" w:cs="仿宋"/>
          <w:bCs/>
          <w:color w:val="000000" w:themeColor="text1"/>
          <w:sz w:val="24"/>
          <w:u w:val="single"/>
          <w14:textFill>
            <w14:solidFill>
              <w14:schemeClr w14:val="tx1"/>
            </w14:solidFill>
          </w14:textFill>
        </w:rPr>
        <w:t xml:space="preserve">                              </w:t>
      </w:r>
    </w:p>
    <w:p w14:paraId="0E51DBFD">
      <w:pPr>
        <w:snapToGrid w:val="0"/>
        <w:spacing w:line="600" w:lineRule="auto"/>
        <w:ind w:right="756" w:rightChars="360" w:firstLine="943" w:firstLineChars="393"/>
        <w:rPr>
          <w:rFonts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建设地点：</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bCs/>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p>
    <w:p w14:paraId="28D7AB8E">
      <w:pPr>
        <w:snapToGrid w:val="0"/>
        <w:spacing w:line="600" w:lineRule="auto"/>
        <w:ind w:right="756" w:rightChars="360" w:firstLine="943" w:firstLineChars="393"/>
        <w:rPr>
          <w:rFonts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合同编号：</w:t>
      </w:r>
      <w:r>
        <w:rPr>
          <w:rFonts w:hint="eastAsia" w:ascii="仿宋" w:hAnsi="仿宋" w:eastAsia="仿宋" w:cs="仿宋"/>
          <w:color w:val="000000" w:themeColor="text1"/>
          <w:sz w:val="24"/>
          <w:u w:val="single"/>
          <w14:textFill>
            <w14:solidFill>
              <w14:schemeClr w14:val="tx1"/>
            </w14:solidFill>
          </w14:textFill>
        </w:rPr>
        <w:t xml:space="preserve">                               </w:t>
      </w:r>
    </w:p>
    <w:p w14:paraId="7CE2B7DE">
      <w:pPr>
        <w:snapToGrid w:val="0"/>
        <w:spacing w:line="600" w:lineRule="auto"/>
        <w:ind w:right="756" w:rightChars="360" w:firstLine="943" w:firstLineChars="393"/>
        <w:rPr>
          <w:rFonts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购</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人：</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bCs/>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p>
    <w:p w14:paraId="4B9A41B6">
      <w:pPr>
        <w:snapToGrid w:val="0"/>
        <w:spacing w:line="600" w:lineRule="auto"/>
        <w:ind w:right="756" w:rightChars="360" w:firstLine="943" w:firstLineChars="393"/>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应</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商：</w:t>
      </w:r>
      <w:r>
        <w:rPr>
          <w:rFonts w:hint="eastAsia" w:ascii="仿宋" w:hAnsi="仿宋" w:eastAsia="仿宋" w:cs="仿宋"/>
          <w:bCs/>
          <w:color w:val="000000" w:themeColor="text1"/>
          <w:sz w:val="24"/>
          <w:u w:val="single"/>
          <w14:textFill>
            <w14:solidFill>
              <w14:schemeClr w14:val="tx1"/>
            </w14:solidFill>
          </w14:textFill>
        </w:rPr>
        <w:t xml:space="preserve">                 </w:t>
      </w:r>
      <w:r>
        <w:rPr>
          <w:rFonts w:hint="eastAsia" w:ascii="仿宋" w:hAnsi="仿宋" w:eastAsia="仿宋" w:cs="仿宋"/>
          <w:bCs/>
          <w:color w:val="000000" w:themeColor="text1"/>
          <w:sz w:val="24"/>
          <w:u w:val="single"/>
          <w:lang w:val="en-US" w:eastAsia="zh-CN"/>
          <w14:textFill>
            <w14:solidFill>
              <w14:schemeClr w14:val="tx1"/>
            </w14:solidFill>
          </w14:textFill>
        </w:rPr>
        <w:t xml:space="preserve"> </w:t>
      </w:r>
      <w:r>
        <w:rPr>
          <w:rFonts w:hint="eastAsia" w:ascii="仿宋" w:hAnsi="仿宋" w:eastAsia="仿宋" w:cs="仿宋"/>
          <w:bCs/>
          <w:color w:val="000000" w:themeColor="text1"/>
          <w:sz w:val="24"/>
          <w:u w:val="single"/>
          <w14:textFill>
            <w14:solidFill>
              <w14:schemeClr w14:val="tx1"/>
            </w14:solidFill>
          </w14:textFill>
        </w:rPr>
        <w:t xml:space="preserve">            </w:t>
      </w:r>
    </w:p>
    <w:p w14:paraId="1506DE24">
      <w:pPr>
        <w:spacing w:line="780" w:lineRule="auto"/>
        <w:rPr>
          <w:rFonts w:ascii="仿宋" w:hAnsi="仿宋" w:eastAsia="仿宋" w:cs="仿宋"/>
          <w:b/>
          <w:color w:val="000000" w:themeColor="text1"/>
          <w:sz w:val="24"/>
          <w:u w:val="single"/>
          <w14:textFill>
            <w14:solidFill>
              <w14:schemeClr w14:val="tx1"/>
            </w14:solidFill>
          </w14:textFill>
        </w:rPr>
      </w:pPr>
    </w:p>
    <w:p w14:paraId="7CF5775A">
      <w:pPr>
        <w:spacing w:line="780" w:lineRule="auto"/>
        <w:rPr>
          <w:rFonts w:ascii="仿宋" w:hAnsi="仿宋" w:eastAsia="仿宋" w:cs="仿宋"/>
          <w:b/>
          <w:color w:val="000000" w:themeColor="text1"/>
          <w:sz w:val="24"/>
          <w:u w:val="single"/>
          <w14:textFill>
            <w14:solidFill>
              <w14:schemeClr w14:val="tx1"/>
            </w14:solidFill>
          </w14:textFill>
        </w:rPr>
      </w:pPr>
    </w:p>
    <w:p w14:paraId="00A2556A">
      <w:pPr>
        <w:spacing w:line="780" w:lineRule="auto"/>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签订日期：202</w:t>
      </w:r>
      <w:r>
        <w:rPr>
          <w:rFonts w:hint="eastAsia" w:ascii="仿宋" w:hAnsi="仿宋" w:eastAsia="仿宋" w:cs="仿宋"/>
          <w:color w:val="000000" w:themeColor="text1"/>
          <w:sz w:val="24"/>
          <w:lang w:val="en-US" w:eastAsia="zh-CN"/>
          <w14:textFill>
            <w14:solidFill>
              <w14:schemeClr w14:val="tx1"/>
            </w14:solidFill>
          </w14:textFill>
        </w:rPr>
        <w:t>5</w:t>
      </w:r>
      <w:r>
        <w:rPr>
          <w:rFonts w:hint="eastAsia" w:ascii="仿宋" w:hAnsi="仿宋" w:eastAsia="仿宋" w:cs="仿宋"/>
          <w:color w:val="000000" w:themeColor="text1"/>
          <w:sz w:val="24"/>
          <w14:textFill>
            <w14:solidFill>
              <w14:schemeClr w14:val="tx1"/>
            </w14:solidFill>
          </w14:textFill>
        </w:rPr>
        <w:t>年  月   日</w:t>
      </w:r>
    </w:p>
    <w:p w14:paraId="5BFAAA53">
      <w:pPr>
        <w:spacing w:line="580" w:lineRule="exact"/>
        <w:rPr>
          <w:rFonts w:ascii="仿宋" w:hAnsi="仿宋" w:eastAsia="仿宋" w:cs="仿宋"/>
          <w:color w:val="000000" w:themeColor="text1"/>
          <w:sz w:val="24"/>
          <w14:textFill>
            <w14:solidFill>
              <w14:schemeClr w14:val="tx1"/>
            </w14:solidFill>
          </w14:textFill>
        </w:rPr>
      </w:pPr>
    </w:p>
    <w:p w14:paraId="66781118">
      <w:pPr>
        <w:spacing w:line="580" w:lineRule="exact"/>
        <w:rPr>
          <w:rFonts w:ascii="仿宋" w:hAnsi="仿宋" w:eastAsia="仿宋" w:cs="仿宋"/>
          <w:color w:val="000000" w:themeColor="text1"/>
          <w:sz w:val="24"/>
          <w14:textFill>
            <w14:solidFill>
              <w14:schemeClr w14:val="tx1"/>
            </w14:solidFill>
          </w14:textFill>
        </w:rPr>
      </w:pPr>
    </w:p>
    <w:p w14:paraId="704693F0">
      <w:pPr>
        <w:rPr>
          <w:color w:val="000000" w:themeColor="text1"/>
          <w14:textFill>
            <w14:solidFill>
              <w14:schemeClr w14:val="tx1"/>
            </w14:solidFill>
          </w14:textFill>
        </w:rPr>
      </w:pPr>
    </w:p>
    <w:p w14:paraId="4ED3033D">
      <w:pPr>
        <w:pStyle w:val="5"/>
        <w:rPr>
          <w:color w:val="000000" w:themeColor="text1"/>
          <w14:textFill>
            <w14:solidFill>
              <w14:schemeClr w14:val="tx1"/>
            </w14:solidFill>
          </w14:textFill>
        </w:rPr>
      </w:pPr>
    </w:p>
    <w:p w14:paraId="2DC63D5F">
      <w:pPr>
        <w:spacing w:line="360" w:lineRule="auto"/>
        <w:ind w:firstLine="480" w:firstLineChars="200"/>
        <w:rPr>
          <w:rFonts w:hint="eastAsia" w:ascii="仿宋" w:hAnsi="仿宋" w:eastAsia="仿宋" w:cs="仿宋"/>
          <w:sz w:val="24"/>
        </w:rPr>
      </w:pPr>
      <w:r>
        <w:rPr>
          <w:rFonts w:hint="eastAsia" w:ascii="仿宋" w:hAnsi="仿宋" w:eastAsia="仿宋" w:cs="仿宋"/>
          <w:sz w:val="24"/>
        </w:rPr>
        <w:t>采购人（以下简称甲方）：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1F1663">
      <w:pPr>
        <w:spacing w:line="360" w:lineRule="auto"/>
        <w:ind w:firstLine="480" w:firstLineChars="200"/>
        <w:rPr>
          <w:rFonts w:hint="eastAsia" w:ascii="仿宋" w:hAnsi="仿宋" w:eastAsia="仿宋" w:cs="仿宋"/>
          <w:sz w:val="24"/>
        </w:rPr>
      </w:pPr>
      <w:r>
        <w:rPr>
          <w:rFonts w:hint="eastAsia" w:ascii="仿宋" w:hAnsi="仿宋" w:eastAsia="仿宋" w:cs="仿宋"/>
          <w:sz w:val="24"/>
        </w:rPr>
        <w:t>供应商（以下简称乙方）：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7166CE56">
      <w:pPr>
        <w:tabs>
          <w:tab w:val="left" w:pos="7665"/>
        </w:tabs>
        <w:spacing w:line="400" w:lineRule="exact"/>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参照《中华人民共和国政府采购法》、《中华人民共和国民法典》及采购项目的《谈判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bookmarkStart w:id="8" w:name="_Toc2559_WPSOffice_Level1"/>
      <w:bookmarkStart w:id="9" w:name="_Toc16142_WPSOffice_Level1"/>
      <w:bookmarkStart w:id="10" w:name="_Toc23635"/>
      <w:bookmarkStart w:id="11" w:name="_Toc28730_WPSOffice_Level1"/>
      <w:bookmarkStart w:id="12" w:name="_Toc26648_WPSOffice_Level1"/>
    </w:p>
    <w:p w14:paraId="55D60403">
      <w:pPr>
        <w:tabs>
          <w:tab w:val="left" w:pos="7665"/>
        </w:tabs>
        <w:spacing w:line="400" w:lineRule="exact"/>
        <w:ind w:firstLine="480" w:firstLineChars="200"/>
        <w:rPr>
          <w:rFonts w:hAnsi="宋体"/>
          <w:sz w:val="24"/>
        </w:rPr>
      </w:pPr>
      <w:r>
        <w:rPr>
          <w:rFonts w:hAnsi="宋体"/>
          <w:sz w:val="24"/>
        </w:rPr>
        <w:t xml:space="preserve"> </w:t>
      </w:r>
    </w:p>
    <w:p w14:paraId="60AE1490">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一、工程概况</w:t>
      </w:r>
      <w:bookmarkEnd w:id="8"/>
      <w:bookmarkEnd w:id="9"/>
      <w:bookmarkEnd w:id="10"/>
      <w:bookmarkEnd w:id="11"/>
      <w:bookmarkEnd w:id="12"/>
      <w:r>
        <w:rPr>
          <w:rFonts w:hint="eastAsia" w:ascii="仿宋" w:hAnsi="仿宋" w:eastAsia="仿宋" w:cs="仿宋"/>
          <w:b/>
          <w:bCs/>
          <w:sz w:val="24"/>
        </w:rPr>
        <w:t xml:space="preserve"> </w:t>
      </w:r>
    </w:p>
    <w:p w14:paraId="585DEB39">
      <w:pPr>
        <w:pStyle w:val="11"/>
        <w:ind w:firstLine="480"/>
        <w:rPr>
          <w:rFonts w:hint="eastAsia" w:ascii="仿宋" w:hAnsi="仿宋" w:eastAsia="仿宋" w:cs="仿宋"/>
          <w:lang w:val="en-US" w:eastAsia="zh-CN"/>
        </w:rPr>
      </w:pPr>
      <w:r>
        <w:rPr>
          <w:rFonts w:hint="eastAsia" w:ascii="仿宋" w:hAnsi="仿宋" w:eastAsia="仿宋" w:cs="仿宋"/>
        </w:rPr>
        <w:t>1、项目名称：</w:t>
      </w:r>
      <w:r>
        <w:rPr>
          <w:rFonts w:hint="eastAsia" w:ascii="Times New Roman" w:hAnsi="Times New Roman" w:eastAsia="仿宋" w:cs="Times New Roman"/>
          <w:sz w:val="24"/>
          <w:szCs w:val="24"/>
          <w:highlight w:val="none"/>
          <w:lang w:eastAsia="zh-CN"/>
        </w:rPr>
        <w:t>江湾府商业配套</w:t>
      </w:r>
      <w:r>
        <w:rPr>
          <w:rFonts w:hint="eastAsia" w:eastAsia="仿宋" w:cs="Times New Roman"/>
          <w:sz w:val="24"/>
          <w:szCs w:val="24"/>
          <w:highlight w:val="none"/>
          <w:lang w:val="en-US" w:eastAsia="zh-CN"/>
        </w:rPr>
        <w:t>地块</w:t>
      </w:r>
      <w:r>
        <w:rPr>
          <w:rFonts w:hint="eastAsia" w:ascii="Times New Roman" w:hAnsi="Times New Roman" w:eastAsia="仿宋" w:cs="Times New Roman"/>
          <w:sz w:val="24"/>
          <w:szCs w:val="24"/>
          <w:highlight w:val="none"/>
          <w:lang w:val="en-US" w:eastAsia="zh-CN"/>
        </w:rPr>
        <w:t>围挡工程</w:t>
      </w:r>
    </w:p>
    <w:p w14:paraId="6453A5A0">
      <w:pPr>
        <w:pStyle w:val="11"/>
        <w:ind w:firstLine="480"/>
        <w:rPr>
          <w:rFonts w:hint="default" w:ascii="仿宋" w:hAnsi="仿宋" w:eastAsia="仿宋" w:cs="仿宋"/>
          <w:lang w:val="en-US" w:eastAsia="zh-CN"/>
        </w:rPr>
      </w:pPr>
      <w:r>
        <w:rPr>
          <w:rFonts w:hint="eastAsia" w:ascii="仿宋" w:hAnsi="仿宋" w:eastAsia="仿宋" w:cs="仿宋"/>
        </w:rPr>
        <w:t>2、项目地点：</w:t>
      </w:r>
      <w:r>
        <w:rPr>
          <w:rFonts w:hint="eastAsia" w:ascii="仿宋" w:hAnsi="仿宋" w:eastAsia="仿宋" w:cs="仿宋"/>
          <w:lang w:val="en-US" w:eastAsia="zh-CN"/>
        </w:rPr>
        <w:t>德阳高新区</w:t>
      </w:r>
    </w:p>
    <w:p w14:paraId="15CA6720">
      <w:pPr>
        <w:pStyle w:val="11"/>
        <w:ind w:firstLine="480"/>
        <w:rPr>
          <w:rFonts w:hint="eastAsia" w:ascii="仿宋" w:hAnsi="仿宋" w:eastAsia="仿宋" w:cs="仿宋"/>
        </w:rPr>
      </w:pPr>
      <w:r>
        <w:rPr>
          <w:rFonts w:hint="eastAsia" w:ascii="仿宋" w:hAnsi="仿宋" w:eastAsia="仿宋" w:cs="仿宋"/>
        </w:rPr>
        <w:t>3、工程量和要求:</w:t>
      </w:r>
    </w:p>
    <w:p w14:paraId="4932CBCB">
      <w:pPr>
        <w:pStyle w:val="11"/>
        <w:ind w:firstLine="480"/>
        <w:rPr>
          <w:rFonts w:hint="eastAsia" w:ascii="仿宋" w:hAnsi="仿宋" w:eastAsia="仿宋" w:cs="仿宋"/>
        </w:rPr>
      </w:pPr>
      <w:r>
        <w:rPr>
          <w:rFonts w:hint="eastAsia" w:ascii="仿宋" w:hAnsi="仿宋" w:eastAsia="仿宋" w:cs="仿宋"/>
        </w:rPr>
        <w:t>（1）工程量清单</w:t>
      </w:r>
    </w:p>
    <w:p w14:paraId="096047AA">
      <w:pPr>
        <w:pStyle w:val="11"/>
        <w:ind w:firstLine="480"/>
        <w:rPr>
          <w:rFonts w:hint="eastAsia" w:ascii="仿宋" w:hAnsi="仿宋" w:eastAsia="仿宋" w:cs="仿宋"/>
        </w:rPr>
      </w:pPr>
      <w:r>
        <w:rPr>
          <w:rFonts w:hint="eastAsia" w:ascii="仿宋" w:hAnsi="仿宋" w:eastAsia="仿宋" w:cs="仿宋"/>
        </w:rPr>
        <w:t>（2）按照甲方提供的施工图及要求，完成本项目所需的临时设施施工，</w:t>
      </w:r>
      <w:r>
        <w:rPr>
          <w:rFonts w:hint="eastAsia" w:ascii="仿宋" w:hAnsi="仿宋" w:eastAsia="仿宋" w:cs="仿宋"/>
          <w:lang w:val="en-US" w:eastAsia="zh-CN"/>
        </w:rPr>
        <w:t>内容为：</w:t>
      </w:r>
      <w:r>
        <w:rPr>
          <w:rFonts w:hint="default" w:ascii="仿宋" w:hAnsi="仿宋" w:eastAsia="仿宋" w:cs="仿宋"/>
          <w:lang w:val="en-US" w:eastAsia="zh-CN"/>
        </w:rPr>
        <w:t>内容为施工围挡长约500m，高2.5m，面积约1250㎡；简易大门1座；大门喷绘约</w:t>
      </w:r>
      <w:r>
        <w:rPr>
          <w:rFonts w:hint="eastAsia" w:ascii="仿宋" w:hAnsi="仿宋" w:eastAsia="仿宋" w:cs="仿宋"/>
          <w:lang w:val="en-US" w:eastAsia="zh-CN"/>
        </w:rPr>
        <w:t>25</w:t>
      </w:r>
      <w:r>
        <w:rPr>
          <w:rFonts w:hint="default" w:ascii="仿宋" w:hAnsi="仿宋" w:eastAsia="仿宋" w:cs="仿宋"/>
          <w:lang w:val="en-US" w:eastAsia="zh-CN"/>
        </w:rPr>
        <w:t>㎡等</w:t>
      </w:r>
      <w:r>
        <w:rPr>
          <w:rFonts w:hint="eastAsia" w:ascii="仿宋" w:hAnsi="仿宋" w:eastAsia="仿宋" w:cs="仿宋"/>
          <w:lang w:val="en-US" w:eastAsia="zh-CN"/>
        </w:rPr>
        <w:t>，包含但不限于围挡施工范围内清表、围挡基础、彩钢围挡、喷淋及设备、门头基础、门架门头及所有应由成交人负责的工作所需要提供的所有机具、人员的服务、材料以及采取的技术保证措施、安全措施、文明施工措施、环境保护措施等</w:t>
      </w:r>
      <w:r>
        <w:rPr>
          <w:rFonts w:hint="eastAsia" w:ascii="仿宋" w:hAnsi="仿宋" w:eastAsia="仿宋" w:cs="仿宋"/>
        </w:rPr>
        <w:t>，甲方有权对范围及内容进行调整；</w:t>
      </w:r>
    </w:p>
    <w:p w14:paraId="1FEA282B">
      <w:pPr>
        <w:pStyle w:val="11"/>
        <w:ind w:firstLine="480"/>
        <w:rPr>
          <w:rFonts w:hint="eastAsia" w:ascii="仿宋" w:hAnsi="仿宋" w:eastAsia="仿宋" w:cs="仿宋"/>
        </w:rPr>
      </w:pPr>
      <w:r>
        <w:rPr>
          <w:rFonts w:hint="eastAsia" w:ascii="仿宋" w:hAnsi="仿宋" w:eastAsia="仿宋" w:cs="仿宋"/>
        </w:rPr>
        <w:t>（3）围挡及大门质保期：自交付并验收合格之日起6个月。</w:t>
      </w:r>
    </w:p>
    <w:p w14:paraId="15BF585C">
      <w:pPr>
        <w:spacing w:line="400" w:lineRule="exact"/>
        <w:ind w:firstLine="482" w:firstLineChars="200"/>
        <w:rPr>
          <w:rFonts w:hint="eastAsia" w:ascii="仿宋" w:hAnsi="仿宋" w:eastAsia="仿宋" w:cs="仿宋"/>
          <w:b/>
          <w:bCs/>
          <w:sz w:val="24"/>
        </w:rPr>
      </w:pPr>
      <w:bookmarkStart w:id="13" w:name="_Toc29240_WPSOffice_Level1"/>
      <w:bookmarkStart w:id="14" w:name="_Toc19027"/>
      <w:bookmarkStart w:id="15" w:name="_Toc12291_WPSOffice_Level1"/>
      <w:bookmarkStart w:id="16" w:name="_Toc7568_WPSOffice_Level1"/>
      <w:bookmarkStart w:id="17" w:name="_Toc13840_WPSOffice_Level1"/>
      <w:r>
        <w:rPr>
          <w:rFonts w:hint="eastAsia" w:ascii="仿宋" w:hAnsi="仿宋" w:eastAsia="仿宋" w:cs="仿宋"/>
          <w:b/>
          <w:bCs/>
          <w:sz w:val="24"/>
        </w:rPr>
        <w:t>二、工程期限</w:t>
      </w:r>
      <w:bookmarkEnd w:id="13"/>
      <w:bookmarkEnd w:id="14"/>
      <w:bookmarkEnd w:id="15"/>
      <w:bookmarkEnd w:id="16"/>
      <w:bookmarkEnd w:id="17"/>
      <w:r>
        <w:rPr>
          <w:rFonts w:hint="eastAsia" w:ascii="仿宋" w:hAnsi="仿宋" w:eastAsia="仿宋" w:cs="仿宋"/>
          <w:b/>
          <w:bCs/>
          <w:sz w:val="24"/>
        </w:rPr>
        <w:t xml:space="preserve"> </w:t>
      </w:r>
    </w:p>
    <w:p w14:paraId="619FD19B">
      <w:pPr>
        <w:pStyle w:val="11"/>
        <w:ind w:firstLine="480"/>
        <w:rPr>
          <w:rFonts w:hint="eastAsia" w:ascii="仿宋" w:hAnsi="仿宋" w:eastAsia="仿宋" w:cs="仿宋"/>
        </w:rPr>
      </w:pPr>
      <w:r>
        <w:rPr>
          <w:rFonts w:hint="eastAsia" w:ascii="仿宋" w:hAnsi="仿宋" w:eastAsia="仿宋" w:cs="仿宋"/>
        </w:rPr>
        <w:t>1、工期：</w:t>
      </w:r>
      <w:r>
        <w:rPr>
          <w:rFonts w:hint="eastAsia" w:ascii="仿宋" w:hAnsi="仿宋" w:eastAsia="仿宋" w:cs="仿宋"/>
          <w:u w:val="single"/>
        </w:rPr>
        <w:t>20</w:t>
      </w:r>
      <w:r>
        <w:rPr>
          <w:rFonts w:hint="eastAsia" w:ascii="仿宋" w:hAnsi="仿宋" w:eastAsia="仿宋" w:cs="仿宋"/>
          <w:bCs/>
          <w:color w:val="000000"/>
        </w:rPr>
        <w:t>日历天（以甲方告知乙方进场时间和进度要求为准）</w:t>
      </w:r>
      <w:r>
        <w:rPr>
          <w:rFonts w:hint="eastAsia" w:ascii="仿宋" w:hAnsi="仿宋" w:eastAsia="仿宋" w:cs="仿宋"/>
        </w:rPr>
        <w:t xml:space="preserve">。 </w:t>
      </w:r>
    </w:p>
    <w:p w14:paraId="57CF7EB7">
      <w:pPr>
        <w:pStyle w:val="11"/>
        <w:ind w:firstLine="480"/>
        <w:rPr>
          <w:rFonts w:hint="eastAsia" w:ascii="仿宋" w:hAnsi="仿宋" w:eastAsia="仿宋" w:cs="仿宋"/>
        </w:rPr>
      </w:pPr>
      <w:r>
        <w:rPr>
          <w:rFonts w:hint="eastAsia" w:ascii="仿宋" w:hAnsi="仿宋" w:eastAsia="仿宋" w:cs="仿宋"/>
        </w:rPr>
        <w:t>2、由于甲方原因和不可抗力等因素所延误的工期，由乙方记录，自发生之日起24小时内报甲方现场代表认可后，工期则相应顺延。</w:t>
      </w:r>
    </w:p>
    <w:p w14:paraId="6CBDBC28">
      <w:pPr>
        <w:pStyle w:val="11"/>
        <w:ind w:firstLine="480"/>
        <w:rPr>
          <w:rFonts w:hint="eastAsia" w:ascii="仿宋" w:hAnsi="仿宋" w:eastAsia="仿宋" w:cs="仿宋"/>
        </w:rPr>
      </w:pPr>
      <w:r>
        <w:rPr>
          <w:rFonts w:hint="eastAsia" w:ascii="仿宋" w:hAnsi="仿宋" w:eastAsia="仿宋" w:cs="仿宋"/>
        </w:rPr>
        <w:t>3、乙方必须按甲方要求的施工进度进行施工，如达不到要求，乙方应承担由此造成的经济损失。</w:t>
      </w:r>
    </w:p>
    <w:p w14:paraId="3EE0A84D">
      <w:pPr>
        <w:spacing w:line="400" w:lineRule="exact"/>
        <w:ind w:firstLine="482" w:firstLineChars="200"/>
        <w:rPr>
          <w:rFonts w:hint="eastAsia" w:ascii="仿宋" w:hAnsi="仿宋" w:eastAsia="仿宋" w:cs="仿宋"/>
          <w:b/>
          <w:bCs/>
          <w:sz w:val="24"/>
        </w:rPr>
      </w:pPr>
      <w:bookmarkStart w:id="18" w:name="_Toc3109_WPSOffice_Level1"/>
      <w:bookmarkStart w:id="19" w:name="_Toc29308_WPSOffice_Level1"/>
      <w:bookmarkStart w:id="20" w:name="_Toc11592"/>
      <w:bookmarkStart w:id="21" w:name="_Toc12493_WPSOffice_Level1"/>
      <w:bookmarkStart w:id="22" w:name="_Toc30729_WPSOffice_Level1"/>
      <w:r>
        <w:rPr>
          <w:rFonts w:hint="eastAsia" w:ascii="仿宋" w:hAnsi="仿宋" w:eastAsia="仿宋" w:cs="仿宋"/>
          <w:b/>
          <w:bCs/>
          <w:sz w:val="24"/>
        </w:rPr>
        <w:t>三、合同总价和承包方式</w:t>
      </w:r>
      <w:bookmarkEnd w:id="18"/>
      <w:bookmarkEnd w:id="19"/>
      <w:bookmarkEnd w:id="20"/>
      <w:bookmarkEnd w:id="21"/>
      <w:bookmarkEnd w:id="22"/>
      <w:r>
        <w:rPr>
          <w:rFonts w:hint="eastAsia" w:ascii="仿宋" w:hAnsi="仿宋" w:eastAsia="仿宋" w:cs="仿宋"/>
          <w:b/>
          <w:bCs/>
          <w:sz w:val="24"/>
        </w:rPr>
        <w:t xml:space="preserve"> </w:t>
      </w:r>
    </w:p>
    <w:p w14:paraId="6320960E">
      <w:pPr>
        <w:pStyle w:val="11"/>
        <w:ind w:firstLine="480"/>
        <w:rPr>
          <w:rFonts w:hint="eastAsia" w:ascii="仿宋" w:hAnsi="仿宋" w:eastAsia="仿宋" w:cs="仿宋"/>
        </w:rPr>
      </w:pPr>
      <w:r>
        <w:rPr>
          <w:rFonts w:hint="eastAsia" w:ascii="仿宋" w:hAnsi="仿宋" w:eastAsia="仿宋" w:cs="仿宋"/>
        </w:rPr>
        <w:t>1、本工程为固定单价合同，暂定不含税总价为</w:t>
      </w:r>
      <w:r>
        <w:rPr>
          <w:rFonts w:hint="eastAsia" w:ascii="仿宋" w:hAnsi="仿宋" w:eastAsia="仿宋" w:cs="仿宋"/>
          <w:u w:val="single"/>
        </w:rPr>
        <w:t xml:space="preserve">       </w:t>
      </w:r>
      <w:r>
        <w:rPr>
          <w:rFonts w:hint="eastAsia" w:ascii="仿宋" w:hAnsi="仿宋" w:eastAsia="仿宋" w:cs="仿宋"/>
        </w:rPr>
        <w:t>元（大写：），税率</w:t>
      </w:r>
      <w:r>
        <w:rPr>
          <w:rFonts w:hint="eastAsia" w:ascii="仿宋" w:hAnsi="仿宋" w:eastAsia="仿宋" w:cs="仿宋"/>
          <w:u w:val="single"/>
        </w:rPr>
        <w:t xml:space="preserve"> 9 </w:t>
      </w:r>
      <w:r>
        <w:rPr>
          <w:rFonts w:hint="eastAsia" w:ascii="仿宋" w:hAnsi="仿宋" w:eastAsia="仿宋" w:cs="仿宋"/>
        </w:rPr>
        <w:t>%，税金：</w:t>
      </w:r>
      <w:r>
        <w:rPr>
          <w:rFonts w:hint="eastAsia" w:ascii="仿宋" w:hAnsi="仿宋" w:eastAsia="仿宋" w:cs="仿宋"/>
          <w:u w:val="single"/>
        </w:rPr>
        <w:t xml:space="preserve">   </w:t>
      </w:r>
      <w:r>
        <w:rPr>
          <w:rFonts w:hint="eastAsia" w:ascii="仿宋" w:hAnsi="仿宋" w:eastAsia="仿宋" w:cs="仿宋"/>
        </w:rPr>
        <w:t>元，暂定含税总价为</w:t>
      </w:r>
      <w:r>
        <w:rPr>
          <w:rFonts w:hint="eastAsia" w:ascii="仿宋" w:hAnsi="仿宋" w:eastAsia="仿宋" w:cs="仿宋"/>
          <w:u w:val="single"/>
        </w:rPr>
        <w:t xml:space="preserve">  </w:t>
      </w:r>
      <w:r>
        <w:rPr>
          <w:rFonts w:hint="eastAsia" w:ascii="仿宋" w:hAnsi="仿宋" w:eastAsia="仿宋" w:cs="仿宋"/>
        </w:rPr>
        <w:t>元（大写：</w:t>
      </w:r>
      <w:r>
        <w:rPr>
          <w:rFonts w:hint="eastAsia" w:ascii="仿宋" w:hAnsi="仿宋" w:eastAsia="仿宋" w:cs="仿宋"/>
          <w:u w:val="single"/>
        </w:rPr>
        <w:t xml:space="preserve">   </w:t>
      </w:r>
      <w:r>
        <w:rPr>
          <w:rFonts w:hint="eastAsia" w:ascii="仿宋" w:hAnsi="仿宋" w:eastAsia="仿宋" w:cs="仿宋"/>
        </w:rPr>
        <w:t xml:space="preserve"> ），该合同含税总价包括但不限于人工费、施工机械费、材料费、利润、税金、场地卫生费、运杂费、缺陷修复费、保险费、以及合同明示或暗示的风险、责任和义务等各项费用和及可能存在的未知费用。除前述约定费用外，甲方无须另向乙方支付本合同规定之外的其他任何费用，且前述约定</w:t>
      </w:r>
      <w:r>
        <w:rPr>
          <w:rFonts w:hint="default" w:ascii="仿宋" w:hAnsi="仿宋" w:eastAsia="仿宋" w:cs="仿宋"/>
          <w:lang w:val="en-US"/>
        </w:rPr>
        <w:t>费用</w:t>
      </w:r>
      <w:r>
        <w:rPr>
          <w:rFonts w:hint="eastAsia" w:ascii="仿宋" w:hAnsi="仿宋" w:eastAsia="仿宋" w:cs="仿宋"/>
        </w:rPr>
        <w:t>不因任何原因进行调增。</w:t>
      </w:r>
    </w:p>
    <w:p w14:paraId="137596FD">
      <w:pPr>
        <w:pStyle w:val="11"/>
        <w:ind w:firstLine="480"/>
        <w:rPr>
          <w:rFonts w:hint="eastAsia" w:ascii="仿宋" w:hAnsi="仿宋" w:eastAsia="仿宋" w:cs="仿宋"/>
        </w:rPr>
      </w:pPr>
      <w:r>
        <w:rPr>
          <w:rFonts w:hint="eastAsia" w:ascii="仿宋" w:hAnsi="仿宋" w:eastAsia="仿宋" w:cs="仿宋"/>
        </w:rPr>
        <w:t>2、承包方式：包工包料。</w:t>
      </w:r>
    </w:p>
    <w:p w14:paraId="65D18945">
      <w:pPr>
        <w:spacing w:line="400" w:lineRule="exact"/>
        <w:ind w:firstLine="482" w:firstLineChars="200"/>
        <w:rPr>
          <w:rFonts w:hint="eastAsia" w:ascii="仿宋" w:hAnsi="仿宋" w:eastAsia="仿宋" w:cs="仿宋"/>
          <w:b/>
          <w:bCs/>
          <w:sz w:val="24"/>
        </w:rPr>
      </w:pPr>
      <w:bookmarkStart w:id="23" w:name="_Toc19430_WPSOffice_Level1"/>
      <w:bookmarkStart w:id="24" w:name="_Toc29643_WPSOffice_Level1"/>
      <w:bookmarkStart w:id="25" w:name="_Toc560_WPSOffice_Level1"/>
      <w:bookmarkStart w:id="26" w:name="_Toc15165"/>
      <w:bookmarkStart w:id="27" w:name="_Toc214_WPSOffice_Level1"/>
      <w:r>
        <w:rPr>
          <w:rFonts w:hint="eastAsia" w:ascii="仿宋" w:hAnsi="仿宋" w:eastAsia="仿宋" w:cs="仿宋"/>
          <w:b/>
          <w:bCs/>
          <w:sz w:val="24"/>
        </w:rPr>
        <w:t>四、物资供应</w:t>
      </w:r>
      <w:bookmarkEnd w:id="23"/>
      <w:bookmarkEnd w:id="24"/>
      <w:bookmarkEnd w:id="25"/>
      <w:bookmarkEnd w:id="26"/>
      <w:bookmarkEnd w:id="27"/>
      <w:r>
        <w:rPr>
          <w:rFonts w:hint="eastAsia" w:ascii="仿宋" w:hAnsi="仿宋" w:eastAsia="仿宋" w:cs="仿宋"/>
          <w:b/>
          <w:bCs/>
          <w:sz w:val="24"/>
        </w:rPr>
        <w:t xml:space="preserve"> </w:t>
      </w:r>
    </w:p>
    <w:p w14:paraId="5D2A8554">
      <w:pPr>
        <w:pStyle w:val="11"/>
        <w:ind w:firstLine="480"/>
        <w:rPr>
          <w:rFonts w:hint="eastAsia" w:ascii="仿宋" w:hAnsi="仿宋" w:eastAsia="仿宋" w:cs="仿宋"/>
        </w:rPr>
      </w:pPr>
      <w:r>
        <w:rPr>
          <w:rFonts w:hint="eastAsia" w:ascii="仿宋" w:hAnsi="仿宋" w:eastAsia="仿宋" w:cs="仿宋"/>
        </w:rPr>
        <w:t>1、本工程所需的设备、材料由乙方自行采购。</w:t>
      </w:r>
    </w:p>
    <w:p w14:paraId="1F359128">
      <w:pPr>
        <w:pStyle w:val="11"/>
        <w:ind w:firstLine="480"/>
        <w:rPr>
          <w:rFonts w:hint="eastAsia" w:ascii="仿宋" w:hAnsi="仿宋" w:eastAsia="仿宋" w:cs="仿宋"/>
        </w:rPr>
      </w:pPr>
      <w:r>
        <w:rPr>
          <w:rFonts w:hint="eastAsia" w:ascii="仿宋" w:hAnsi="仿宋" w:eastAsia="仿宋" w:cs="仿宋"/>
        </w:rPr>
        <w:t>2、进场的设备、材料，供应方应提供合格证书或试验报告。对于不合格材料，乙方不得使用，负责承担由此发生的一切费用。</w:t>
      </w:r>
    </w:p>
    <w:p w14:paraId="469D2410">
      <w:pPr>
        <w:spacing w:line="400" w:lineRule="exact"/>
        <w:ind w:firstLine="482" w:firstLineChars="200"/>
        <w:rPr>
          <w:rFonts w:hint="eastAsia" w:ascii="仿宋" w:hAnsi="仿宋" w:eastAsia="仿宋" w:cs="仿宋"/>
          <w:b/>
          <w:bCs/>
          <w:sz w:val="24"/>
        </w:rPr>
      </w:pPr>
      <w:bookmarkStart w:id="28" w:name="_Toc8917_WPSOffice_Level1"/>
      <w:bookmarkStart w:id="29" w:name="_Toc31337_WPSOffice_Level1"/>
      <w:bookmarkStart w:id="30" w:name="_Toc17997_WPSOffice_Level1"/>
      <w:bookmarkStart w:id="31" w:name="_Toc29647"/>
      <w:bookmarkStart w:id="32" w:name="_Toc17774_WPSOffice_Level1"/>
      <w:r>
        <w:rPr>
          <w:rFonts w:hint="eastAsia" w:ascii="仿宋" w:hAnsi="仿宋" w:eastAsia="仿宋" w:cs="仿宋"/>
          <w:b/>
          <w:bCs/>
          <w:sz w:val="24"/>
        </w:rPr>
        <w:t>五、工程质量和检查验收</w:t>
      </w:r>
      <w:bookmarkEnd w:id="28"/>
      <w:bookmarkEnd w:id="29"/>
      <w:bookmarkEnd w:id="30"/>
      <w:bookmarkEnd w:id="31"/>
      <w:bookmarkEnd w:id="32"/>
    </w:p>
    <w:p w14:paraId="0C093BF6">
      <w:pPr>
        <w:pStyle w:val="11"/>
        <w:ind w:firstLine="480"/>
        <w:rPr>
          <w:rFonts w:hint="eastAsia" w:ascii="仿宋" w:hAnsi="仿宋" w:eastAsia="仿宋" w:cs="仿宋"/>
        </w:rPr>
      </w:pPr>
      <w:r>
        <w:rPr>
          <w:rFonts w:hint="eastAsia" w:ascii="仿宋" w:hAnsi="仿宋" w:eastAsia="仿宋" w:cs="仿宋"/>
        </w:rPr>
        <w:t>1、甲方对本工程建设实施现场管理和质量监督，乙方必须积极配合，服从对工程的监督管理。</w:t>
      </w:r>
    </w:p>
    <w:p w14:paraId="0DA0BD5E">
      <w:pPr>
        <w:pStyle w:val="11"/>
        <w:ind w:firstLine="480"/>
        <w:rPr>
          <w:rFonts w:hint="eastAsia" w:ascii="仿宋" w:hAnsi="仿宋" w:eastAsia="仿宋" w:cs="仿宋"/>
        </w:rPr>
      </w:pPr>
      <w:r>
        <w:rPr>
          <w:rFonts w:hint="eastAsia" w:ascii="仿宋" w:hAnsi="仿宋" w:eastAsia="仿宋" w:cs="仿宋"/>
        </w:rPr>
        <w:t xml:space="preserve">2、乙方必须按国家及行业所规定的施工标准和验收规范进行施工。 </w:t>
      </w:r>
    </w:p>
    <w:p w14:paraId="680C478A">
      <w:pPr>
        <w:pStyle w:val="11"/>
        <w:ind w:firstLine="480"/>
        <w:rPr>
          <w:rFonts w:hint="eastAsia" w:ascii="仿宋" w:hAnsi="仿宋" w:eastAsia="仿宋" w:cs="仿宋"/>
        </w:rPr>
      </w:pPr>
      <w:r>
        <w:rPr>
          <w:rFonts w:hint="eastAsia" w:ascii="仿宋" w:hAnsi="仿宋" w:eastAsia="仿宋" w:cs="仿宋"/>
        </w:rPr>
        <w:t>3、乙方在施工中应接受甲方的监督和检查，按工程进度及时向甲方提供有关的工程质量技术资料和报表。</w:t>
      </w:r>
    </w:p>
    <w:p w14:paraId="4A7B9286">
      <w:pPr>
        <w:pStyle w:val="11"/>
        <w:ind w:firstLine="480"/>
        <w:rPr>
          <w:rFonts w:hint="eastAsia" w:ascii="仿宋" w:hAnsi="仿宋" w:eastAsia="仿宋" w:cs="仿宋"/>
        </w:rPr>
      </w:pPr>
      <w:r>
        <w:rPr>
          <w:rFonts w:hint="eastAsia" w:ascii="仿宋" w:hAnsi="仿宋" w:eastAsia="仿宋" w:cs="仿宋"/>
        </w:rPr>
        <w:t>4、隐蔽工程具备隐蔽条件后，乙方应自检合格并做好记录，并提前 24 小时书面通知甲方进行检查并签字验收。如甲方未能按时到场检查，乙方有权检查隐蔽，但应做好隐蔽检查记录，甲方应予以确认；如甲方事后提出复查时，经复查合格者，其费用由甲方负责；不合格者，限期整改，并重新验收，其费用由乙方负责。</w:t>
      </w:r>
    </w:p>
    <w:p w14:paraId="62E8AA68">
      <w:pPr>
        <w:pStyle w:val="11"/>
        <w:ind w:firstLine="480"/>
        <w:rPr>
          <w:rFonts w:hint="eastAsia" w:ascii="仿宋" w:hAnsi="仿宋" w:eastAsia="仿宋" w:cs="仿宋"/>
        </w:rPr>
      </w:pPr>
      <w:r>
        <w:rPr>
          <w:rFonts w:hint="eastAsia" w:ascii="仿宋" w:hAnsi="仿宋" w:eastAsia="仿宋" w:cs="仿宋"/>
        </w:rPr>
        <w:t>5、已完工的工程，在交工前由乙方负责保管。</w:t>
      </w:r>
    </w:p>
    <w:p w14:paraId="1A3CB4C7">
      <w:pPr>
        <w:pStyle w:val="11"/>
        <w:ind w:firstLine="480"/>
        <w:rPr>
          <w:rFonts w:hint="eastAsia" w:ascii="仿宋" w:hAnsi="仿宋" w:eastAsia="仿宋" w:cs="仿宋"/>
        </w:rPr>
      </w:pPr>
      <w:r>
        <w:rPr>
          <w:rFonts w:hint="eastAsia" w:ascii="仿宋" w:hAnsi="仿宋" w:eastAsia="仿宋" w:cs="仿宋"/>
        </w:rPr>
        <w:t>6、本工程全面完工后，由乙方提出竣工验收通知，甲方接到通知后</w:t>
      </w:r>
      <w:r>
        <w:rPr>
          <w:rFonts w:hint="eastAsia" w:ascii="仿宋" w:hAnsi="仿宋" w:eastAsia="仿宋" w:cs="仿宋"/>
          <w:u w:val="single"/>
        </w:rPr>
        <w:t xml:space="preserve"> 5 </w:t>
      </w:r>
      <w:r>
        <w:rPr>
          <w:rFonts w:hint="eastAsia" w:ascii="仿宋" w:hAnsi="仿宋" w:eastAsia="仿宋" w:cs="仿宋"/>
        </w:rPr>
        <w:t>天内组织交工验收。甲方在交工验收证书上签字后返回乙方一份，存档备查。</w:t>
      </w:r>
    </w:p>
    <w:p w14:paraId="527A143A">
      <w:pPr>
        <w:pStyle w:val="11"/>
        <w:ind w:firstLine="480"/>
        <w:rPr>
          <w:rFonts w:hint="eastAsia" w:ascii="仿宋" w:hAnsi="仿宋" w:eastAsia="仿宋" w:cs="仿宋"/>
        </w:rPr>
      </w:pPr>
      <w:r>
        <w:rPr>
          <w:rFonts w:hint="eastAsia" w:ascii="仿宋" w:hAnsi="仿宋" w:eastAsia="仿宋" w:cs="仿宋"/>
        </w:rPr>
        <w:t>7、验收由甲方组织，乙方配合进行。</w:t>
      </w:r>
    </w:p>
    <w:p w14:paraId="306AEC2B">
      <w:pPr>
        <w:pStyle w:val="11"/>
        <w:ind w:firstLine="480"/>
        <w:rPr>
          <w:rFonts w:hint="eastAsia" w:ascii="仿宋" w:hAnsi="仿宋" w:eastAsia="仿宋" w:cs="仿宋"/>
        </w:rPr>
      </w:pPr>
      <w:r>
        <w:rPr>
          <w:rFonts w:hint="eastAsia" w:ascii="仿宋" w:hAnsi="仿宋" w:eastAsia="仿宋" w:cs="仿宋"/>
        </w:rPr>
        <w:t>8、验收标准：材料、辅料符合国家相关部门颁布标准及环保标准</w:t>
      </w:r>
      <w:r>
        <w:rPr>
          <w:rFonts w:hint="eastAsia" w:ascii="仿宋" w:hAnsi="仿宋" w:eastAsia="仿宋" w:cs="仿宋"/>
          <w:lang w:val="zh-CN"/>
        </w:rPr>
        <w:t>一次性验收合格，达到现行设计、施工和验收有关规范标准及要求</w:t>
      </w:r>
      <w:r>
        <w:rPr>
          <w:rFonts w:hint="eastAsia" w:ascii="仿宋" w:hAnsi="仿宋" w:eastAsia="仿宋" w:cs="仿宋"/>
        </w:rPr>
        <w:t>及甲方磋商文件的质量要求和技术指标、乙方的响应文件及承诺与本合同约定标准进行验收；甲乙双方如对质量要求和技术指标的约定标准有相互抵触或异议的事项，由甲方在招标与响应文件中按质量要求和技术指标比较优胜的原则确定该项的约定标准进行验收</w:t>
      </w:r>
      <w:r>
        <w:rPr>
          <w:rFonts w:hint="eastAsia" w:ascii="仿宋" w:hAnsi="仿宋" w:eastAsia="仿宋" w:cs="仿宋"/>
          <w:lang w:val="zh-CN"/>
        </w:rPr>
        <w:t>。</w:t>
      </w:r>
    </w:p>
    <w:p w14:paraId="00CF28EC">
      <w:pPr>
        <w:spacing w:line="400" w:lineRule="exact"/>
        <w:ind w:firstLine="482" w:firstLineChars="200"/>
        <w:rPr>
          <w:rFonts w:hint="eastAsia" w:ascii="仿宋" w:hAnsi="仿宋" w:eastAsia="仿宋" w:cs="仿宋"/>
          <w:b/>
          <w:bCs/>
          <w:sz w:val="24"/>
        </w:rPr>
      </w:pPr>
      <w:bookmarkStart w:id="33" w:name="_Toc14861_WPSOffice_Level1"/>
      <w:bookmarkStart w:id="34" w:name="_Toc29276"/>
      <w:bookmarkStart w:id="35" w:name="_Toc16230_WPSOffice_Level1"/>
      <w:bookmarkStart w:id="36" w:name="_Toc17923_WPSOffice_Level1"/>
      <w:bookmarkStart w:id="37" w:name="_Toc23830_WPSOffice_Level1"/>
      <w:r>
        <w:rPr>
          <w:rFonts w:hint="eastAsia" w:ascii="仿宋" w:hAnsi="仿宋" w:eastAsia="仿宋" w:cs="仿宋"/>
          <w:b/>
          <w:bCs/>
          <w:sz w:val="24"/>
        </w:rPr>
        <w:t>六、双方责任</w:t>
      </w:r>
      <w:bookmarkEnd w:id="33"/>
      <w:bookmarkEnd w:id="34"/>
      <w:bookmarkEnd w:id="35"/>
      <w:bookmarkEnd w:id="36"/>
      <w:bookmarkEnd w:id="37"/>
      <w:r>
        <w:rPr>
          <w:rFonts w:hint="eastAsia" w:ascii="仿宋" w:hAnsi="仿宋" w:eastAsia="仿宋" w:cs="仿宋"/>
          <w:b/>
          <w:bCs/>
          <w:sz w:val="24"/>
        </w:rPr>
        <w:t xml:space="preserve"> </w:t>
      </w:r>
    </w:p>
    <w:p w14:paraId="596A1959">
      <w:pPr>
        <w:pStyle w:val="11"/>
        <w:ind w:firstLine="480"/>
        <w:rPr>
          <w:rFonts w:hint="eastAsia" w:ascii="仿宋" w:hAnsi="仿宋" w:eastAsia="仿宋" w:cs="仿宋"/>
        </w:rPr>
      </w:pPr>
      <w:r>
        <w:rPr>
          <w:rFonts w:hint="eastAsia" w:ascii="仿宋" w:hAnsi="仿宋" w:eastAsia="仿宋" w:cs="仿宋"/>
        </w:rPr>
        <w:t>1、甲方责任</w:t>
      </w:r>
    </w:p>
    <w:p w14:paraId="06CE6042">
      <w:pPr>
        <w:pStyle w:val="11"/>
        <w:ind w:firstLine="480"/>
        <w:rPr>
          <w:rFonts w:hint="eastAsia" w:ascii="仿宋" w:hAnsi="仿宋" w:eastAsia="仿宋" w:cs="仿宋"/>
        </w:rPr>
      </w:pPr>
      <w:r>
        <w:rPr>
          <w:rFonts w:hint="eastAsia" w:ascii="仿宋" w:hAnsi="仿宋" w:eastAsia="仿宋" w:cs="仿宋"/>
        </w:rPr>
        <w:t xml:space="preserve">（1）负责审核乙方进度报表，按时向乙方支付工程款。 </w:t>
      </w:r>
    </w:p>
    <w:p w14:paraId="5926F6A3">
      <w:pPr>
        <w:pStyle w:val="11"/>
        <w:ind w:firstLine="480"/>
        <w:rPr>
          <w:rFonts w:hint="eastAsia" w:ascii="仿宋" w:hAnsi="仿宋" w:eastAsia="仿宋" w:cs="仿宋"/>
        </w:rPr>
      </w:pPr>
      <w:r>
        <w:rPr>
          <w:rFonts w:hint="eastAsia" w:ascii="仿宋" w:hAnsi="仿宋" w:eastAsia="仿宋" w:cs="仿宋"/>
        </w:rPr>
        <w:t>（2）负责协调乙方与相关施工单位施工现场的配合工作，有权对乙方的施工队伍进行监督，有权对不能满足甲方管理需要及安全、质量、进度要求的现象提出警告，经整改仍不能满足要求的，甲方有权取消</w:t>
      </w:r>
      <w:bookmarkStart w:id="116" w:name="_GoBack"/>
      <w:bookmarkEnd w:id="116"/>
      <w:r>
        <w:rPr>
          <w:rFonts w:hint="eastAsia" w:ascii="仿宋" w:hAnsi="仿宋" w:eastAsia="仿宋" w:cs="仿宋"/>
        </w:rPr>
        <w:t xml:space="preserve">部分合同工程，直至取消全部合同工程。 </w:t>
      </w:r>
    </w:p>
    <w:p w14:paraId="2ABCBC83">
      <w:pPr>
        <w:pStyle w:val="11"/>
        <w:ind w:firstLine="480"/>
        <w:rPr>
          <w:rFonts w:hint="eastAsia" w:ascii="仿宋" w:hAnsi="仿宋" w:eastAsia="仿宋" w:cs="仿宋"/>
        </w:rPr>
      </w:pPr>
      <w:r>
        <w:rPr>
          <w:rFonts w:hint="eastAsia" w:ascii="仿宋" w:hAnsi="仿宋" w:eastAsia="仿宋" w:cs="仿宋"/>
        </w:rPr>
        <w:t>（3）派出</w:t>
      </w:r>
      <w:r>
        <w:rPr>
          <w:rFonts w:hint="eastAsia" w:ascii="仿宋" w:hAnsi="仿宋" w:eastAsia="仿宋" w:cs="仿宋"/>
          <w:u w:val="single"/>
        </w:rPr>
        <w:t xml:space="preserve"> ***  </w:t>
      </w:r>
      <w:r>
        <w:rPr>
          <w:rFonts w:hint="eastAsia" w:ascii="仿宋" w:hAnsi="仿宋" w:eastAsia="仿宋" w:cs="仿宋"/>
        </w:rPr>
        <w:t>同志为现场代表，对工程进度、工程质量进行监督检查，按规定办理工程签证负责协调施工现场的有关事宜。</w:t>
      </w:r>
    </w:p>
    <w:p w14:paraId="0DC77109">
      <w:pPr>
        <w:pStyle w:val="11"/>
        <w:ind w:firstLine="480"/>
        <w:rPr>
          <w:rFonts w:hint="eastAsia" w:ascii="仿宋" w:hAnsi="仿宋" w:eastAsia="仿宋" w:cs="仿宋"/>
        </w:rPr>
      </w:pPr>
      <w:r>
        <w:rPr>
          <w:rFonts w:hint="eastAsia" w:ascii="仿宋" w:hAnsi="仿宋" w:eastAsia="仿宋" w:cs="仿宋"/>
        </w:rPr>
        <w:t xml:space="preserve">（4）组织工程竣工验收，审核、办理工程竣工结算。 </w:t>
      </w:r>
    </w:p>
    <w:p w14:paraId="2FBF90C2">
      <w:pPr>
        <w:pStyle w:val="11"/>
        <w:ind w:firstLine="480"/>
        <w:rPr>
          <w:rFonts w:hint="eastAsia" w:ascii="仿宋" w:hAnsi="仿宋" w:eastAsia="仿宋" w:cs="仿宋"/>
        </w:rPr>
      </w:pPr>
      <w:r>
        <w:rPr>
          <w:rFonts w:hint="eastAsia" w:ascii="仿宋" w:hAnsi="仿宋" w:eastAsia="仿宋" w:cs="仿宋"/>
        </w:rPr>
        <w:t xml:space="preserve">2、乙方责任 </w:t>
      </w:r>
    </w:p>
    <w:p w14:paraId="6A9BB0A3">
      <w:pPr>
        <w:pStyle w:val="11"/>
        <w:ind w:firstLine="480"/>
        <w:rPr>
          <w:rFonts w:hint="eastAsia" w:ascii="仿宋" w:hAnsi="仿宋" w:eastAsia="仿宋" w:cs="仿宋"/>
        </w:rPr>
      </w:pPr>
      <w:r>
        <w:rPr>
          <w:rFonts w:hint="eastAsia" w:ascii="仿宋" w:hAnsi="仿宋" w:eastAsia="仿宋" w:cs="仿宋"/>
        </w:rPr>
        <w:t xml:space="preserve">（1）严格遵守甲方安全生产的有关规定，必须严格按规定办理手续，经甲方审批后方可施工，确保生产及施工的安全。 </w:t>
      </w:r>
    </w:p>
    <w:p w14:paraId="6490F717">
      <w:pPr>
        <w:pStyle w:val="11"/>
        <w:ind w:firstLine="480"/>
        <w:rPr>
          <w:rFonts w:hint="eastAsia" w:ascii="仿宋" w:hAnsi="仿宋" w:eastAsia="仿宋" w:cs="仿宋"/>
        </w:rPr>
      </w:pPr>
      <w:r>
        <w:rPr>
          <w:rFonts w:hint="eastAsia" w:ascii="仿宋" w:hAnsi="仿宋" w:eastAsia="仿宋" w:cs="仿宋"/>
        </w:rPr>
        <w:t>（2）遵守施工现场对施工中的公共交通、安全和环保的管理规定，沿道路施工包括道路边堆放材料应采取必要的防护措施，设置明显标志，做好乙方施工范围内的现场、成品、半成品的保护工作，同时采取有效措施确保乙方的工作不对其它建、构筑物；地上、地下管线；成品、半成品造成损害。如乙方未履行上述义务而造成对上述物品的损坏和对人员、车辆等伤害，由乙方承担责任及所发 生的费用。同时</w:t>
      </w:r>
      <w:r>
        <w:rPr>
          <w:rFonts w:hint="eastAsia" w:ascii="仿宋" w:hAnsi="仿宋" w:eastAsia="仿宋" w:cs="仿宋"/>
          <w:color w:val="000000"/>
        </w:rPr>
        <w:t>材料加工及安装过程中乙方应保证工完料清、工完场地清及人走场地清，否则甲方将按《安全生产协议书》中规定予以处罚。</w:t>
      </w:r>
    </w:p>
    <w:p w14:paraId="2A3F8FFF">
      <w:pPr>
        <w:pStyle w:val="11"/>
        <w:ind w:firstLine="480"/>
        <w:rPr>
          <w:rFonts w:hint="eastAsia" w:ascii="仿宋" w:hAnsi="仿宋" w:eastAsia="仿宋" w:cs="仿宋"/>
        </w:rPr>
      </w:pPr>
      <w:r>
        <w:rPr>
          <w:rFonts w:hint="eastAsia" w:ascii="仿宋" w:hAnsi="仿宋" w:eastAsia="仿宋" w:cs="仿宋"/>
        </w:rPr>
        <w:t>（3）施工过程中产生的垃圾、废料在每天下班前需清理干净，保持施工地点的干净、整洁。</w:t>
      </w:r>
    </w:p>
    <w:p w14:paraId="665001F1">
      <w:pPr>
        <w:pStyle w:val="11"/>
        <w:ind w:firstLine="480"/>
        <w:rPr>
          <w:rFonts w:hint="eastAsia" w:ascii="仿宋" w:hAnsi="仿宋" w:eastAsia="仿宋" w:cs="仿宋"/>
        </w:rPr>
      </w:pPr>
      <w:r>
        <w:rPr>
          <w:rFonts w:hint="eastAsia" w:ascii="仿宋" w:hAnsi="仿宋" w:eastAsia="仿宋" w:cs="仿宋"/>
        </w:rPr>
        <w:t>（4）有义务做好与其它施工单位交叉施工的工作，在交叉施工期间做到随叫随到。</w:t>
      </w:r>
    </w:p>
    <w:p w14:paraId="09D3DFF4">
      <w:pPr>
        <w:pStyle w:val="11"/>
        <w:ind w:firstLine="480"/>
        <w:rPr>
          <w:rFonts w:hint="eastAsia" w:ascii="仿宋" w:hAnsi="仿宋" w:eastAsia="仿宋" w:cs="仿宋"/>
        </w:rPr>
      </w:pPr>
      <w:r>
        <w:rPr>
          <w:rFonts w:hint="eastAsia" w:ascii="仿宋" w:hAnsi="仿宋" w:eastAsia="仿宋" w:cs="仿宋"/>
        </w:rPr>
        <w:t>（5）已完工的工程，在交工前负责保管并按规定清理好场地。</w:t>
      </w:r>
    </w:p>
    <w:p w14:paraId="1C317615">
      <w:pPr>
        <w:pStyle w:val="11"/>
        <w:ind w:firstLine="480"/>
        <w:rPr>
          <w:rFonts w:hint="eastAsia" w:ascii="仿宋" w:hAnsi="仿宋" w:eastAsia="仿宋" w:cs="仿宋"/>
        </w:rPr>
      </w:pPr>
      <w:r>
        <w:rPr>
          <w:rFonts w:hint="eastAsia" w:ascii="仿宋" w:hAnsi="仿宋" w:eastAsia="仿宋" w:cs="仿宋"/>
        </w:rPr>
        <w:t>（6）发生的质量问题要查明原因，属施工程质量问题时，乙方接到通知后</w:t>
      </w:r>
      <w:r>
        <w:rPr>
          <w:rFonts w:hint="eastAsia" w:ascii="仿宋" w:hAnsi="仿宋" w:eastAsia="仿宋" w:cs="仿宋"/>
          <w:u w:val="single"/>
        </w:rPr>
        <w:t xml:space="preserve">    </w:t>
      </w:r>
      <w:r>
        <w:rPr>
          <w:rFonts w:hint="eastAsia" w:ascii="仿宋" w:hAnsi="仿宋" w:eastAsia="仿宋" w:cs="仿宋"/>
        </w:rPr>
        <w:t>天内派人修理，否则甲方可委托第三方修理，因乙方原因造成的返修费用，由乙方承担。</w:t>
      </w:r>
    </w:p>
    <w:p w14:paraId="2E26273F">
      <w:pPr>
        <w:pStyle w:val="11"/>
        <w:ind w:firstLine="480"/>
        <w:rPr>
          <w:rFonts w:hint="eastAsia" w:ascii="仿宋" w:hAnsi="仿宋" w:eastAsia="仿宋" w:cs="仿宋"/>
        </w:rPr>
      </w:pPr>
      <w:r>
        <w:rPr>
          <w:rFonts w:hint="eastAsia" w:ascii="仿宋" w:hAnsi="仿宋" w:eastAsia="仿宋" w:cs="仿宋"/>
        </w:rPr>
        <w:t>（7）竣工后</w:t>
      </w:r>
      <w:r>
        <w:rPr>
          <w:rFonts w:hint="eastAsia" w:ascii="仿宋" w:hAnsi="仿宋" w:eastAsia="仿宋" w:cs="仿宋"/>
          <w:u w:val="single"/>
        </w:rPr>
        <w:t xml:space="preserve"> 2 </w:t>
      </w:r>
      <w:r>
        <w:rPr>
          <w:rFonts w:hint="eastAsia" w:ascii="仿宋" w:hAnsi="仿宋" w:eastAsia="仿宋" w:cs="仿宋"/>
        </w:rPr>
        <w:t>天内乙方退场完毕， 退场前自行清理临时设施和施工现场，做到工完、料净、场地清，否则甲方委托第三方清理，所发生费用由乙方负责。</w:t>
      </w:r>
    </w:p>
    <w:p w14:paraId="3F175110">
      <w:pPr>
        <w:pStyle w:val="11"/>
        <w:ind w:firstLine="480"/>
        <w:rPr>
          <w:rFonts w:hint="eastAsia" w:ascii="仿宋" w:hAnsi="仿宋" w:eastAsia="仿宋" w:cs="仿宋"/>
        </w:rPr>
      </w:pPr>
      <w:r>
        <w:rPr>
          <w:rFonts w:hint="eastAsia" w:ascii="仿宋" w:hAnsi="仿宋" w:eastAsia="仿宋" w:cs="仿宋"/>
        </w:rPr>
        <w:t>（8）竣工验收后</w:t>
      </w:r>
      <w:r>
        <w:rPr>
          <w:rFonts w:hint="eastAsia" w:ascii="仿宋" w:hAnsi="仿宋" w:eastAsia="仿宋" w:cs="仿宋"/>
          <w:u w:val="single"/>
        </w:rPr>
        <w:t xml:space="preserve"> 5 </w:t>
      </w:r>
      <w:r>
        <w:rPr>
          <w:rFonts w:hint="eastAsia" w:ascii="仿宋" w:hAnsi="仿宋" w:eastAsia="仿宋" w:cs="仿宋"/>
        </w:rPr>
        <w:t>天内向甲方报送本工程结算书。</w:t>
      </w:r>
    </w:p>
    <w:p w14:paraId="70BA8B6E">
      <w:pPr>
        <w:pStyle w:val="11"/>
        <w:ind w:firstLine="480"/>
        <w:rPr>
          <w:rFonts w:hint="eastAsia" w:ascii="仿宋" w:hAnsi="仿宋" w:eastAsia="仿宋" w:cs="仿宋"/>
        </w:rPr>
      </w:pPr>
      <w:r>
        <w:rPr>
          <w:rFonts w:hint="eastAsia" w:ascii="仿宋" w:hAnsi="仿宋" w:eastAsia="仿宋" w:cs="仿宋"/>
        </w:rPr>
        <w:t>（9）执行甲方关于工程签证、预(结)算的有关规定办理结算。</w:t>
      </w:r>
    </w:p>
    <w:p w14:paraId="2C0D6640">
      <w:pPr>
        <w:pStyle w:val="11"/>
        <w:ind w:firstLine="480"/>
        <w:rPr>
          <w:rFonts w:hint="eastAsia" w:ascii="仿宋" w:hAnsi="仿宋" w:eastAsia="仿宋" w:cs="仿宋"/>
        </w:rPr>
      </w:pPr>
      <w:r>
        <w:rPr>
          <w:rFonts w:hint="eastAsia" w:ascii="仿宋" w:hAnsi="仿宋" w:eastAsia="仿宋" w:cs="仿宋"/>
        </w:rPr>
        <w:t>（10）派出</w:t>
      </w:r>
      <w:r>
        <w:rPr>
          <w:rFonts w:hint="eastAsia" w:ascii="仿宋" w:hAnsi="仿宋" w:eastAsia="仿宋" w:cs="仿宋"/>
          <w:u w:val="single"/>
        </w:rPr>
        <w:t xml:space="preserve">     </w:t>
      </w:r>
      <w:r>
        <w:rPr>
          <w:rFonts w:hint="eastAsia" w:ascii="仿宋" w:hAnsi="仿宋" w:eastAsia="仿宋" w:cs="仿宋"/>
        </w:rPr>
        <w:t>同志（联系方式：</w:t>
      </w:r>
      <w:r>
        <w:rPr>
          <w:rFonts w:hint="eastAsia" w:ascii="仿宋" w:hAnsi="仿宋" w:eastAsia="仿宋" w:cs="仿宋"/>
          <w:u w:val="single"/>
        </w:rPr>
        <w:t xml:space="preserve">       </w:t>
      </w:r>
      <w:r>
        <w:rPr>
          <w:rFonts w:hint="eastAsia" w:ascii="仿宋" w:hAnsi="仿宋" w:eastAsia="仿宋" w:cs="仿宋"/>
        </w:rPr>
        <w:t xml:space="preserve"> ）为施工现场总代表，处理日常事宜。</w:t>
      </w:r>
    </w:p>
    <w:p w14:paraId="015B1BCA">
      <w:pPr>
        <w:pStyle w:val="11"/>
        <w:ind w:firstLine="480"/>
        <w:rPr>
          <w:rFonts w:hint="eastAsia" w:ascii="仿宋" w:hAnsi="仿宋" w:eastAsia="仿宋" w:cs="仿宋"/>
        </w:rPr>
      </w:pPr>
      <w:r>
        <w:rPr>
          <w:rFonts w:hint="eastAsia" w:ascii="仿宋" w:hAnsi="仿宋" w:eastAsia="仿宋" w:cs="仿宋"/>
        </w:rPr>
        <w:t>（11）材料及设备由供应商运抵项目施工现场后下车、施工现场堆放、二次转运及成品保护由乙方负责。</w:t>
      </w:r>
    </w:p>
    <w:p w14:paraId="006E302B">
      <w:pPr>
        <w:pStyle w:val="11"/>
        <w:ind w:firstLine="480"/>
        <w:rPr>
          <w:rFonts w:hint="eastAsia" w:ascii="仿宋" w:hAnsi="仿宋" w:eastAsia="仿宋" w:cs="仿宋"/>
        </w:rPr>
      </w:pPr>
      <w:r>
        <w:rPr>
          <w:rFonts w:hint="eastAsia" w:ascii="仿宋" w:hAnsi="仿宋" w:eastAsia="仿宋" w:cs="仿宋"/>
        </w:rPr>
        <w:t>（12）配合甲方完成相关手续的办理。</w:t>
      </w:r>
    </w:p>
    <w:p w14:paraId="7ECD5EB8">
      <w:pPr>
        <w:spacing w:line="400" w:lineRule="exact"/>
        <w:ind w:firstLine="482" w:firstLineChars="200"/>
        <w:rPr>
          <w:rFonts w:hint="eastAsia" w:ascii="仿宋" w:hAnsi="仿宋" w:eastAsia="仿宋" w:cs="仿宋"/>
          <w:sz w:val="24"/>
        </w:rPr>
      </w:pPr>
      <w:bookmarkStart w:id="38" w:name="_Toc7435_WPSOffice_Level1"/>
      <w:bookmarkStart w:id="39" w:name="_Toc31279_WPSOffice_Level1"/>
      <w:bookmarkStart w:id="40" w:name="_Toc29004"/>
      <w:bookmarkStart w:id="41" w:name="_Toc19343_WPSOffice_Level1"/>
      <w:bookmarkStart w:id="42" w:name="_Toc36_WPSOffice_Level1"/>
      <w:r>
        <w:rPr>
          <w:rFonts w:hint="eastAsia" w:ascii="仿宋" w:hAnsi="仿宋" w:eastAsia="仿宋" w:cs="仿宋"/>
          <w:b/>
          <w:bCs/>
          <w:sz w:val="24"/>
        </w:rPr>
        <w:t>七、付款方式</w:t>
      </w:r>
      <w:bookmarkEnd w:id="38"/>
      <w:bookmarkEnd w:id="39"/>
      <w:bookmarkEnd w:id="40"/>
      <w:bookmarkEnd w:id="41"/>
      <w:bookmarkEnd w:id="42"/>
      <w:bookmarkStart w:id="43" w:name="_Toc25091"/>
    </w:p>
    <w:p w14:paraId="36342940">
      <w:pPr>
        <w:widowControl/>
        <w:spacing w:line="360" w:lineRule="auto"/>
        <w:ind w:firstLine="480" w:firstLineChars="200"/>
        <w:jc w:val="left"/>
        <w:rPr>
          <w:rFonts w:hint="eastAsia" w:ascii="仿宋" w:hAnsi="仿宋" w:eastAsia="仿宋" w:cs="仿宋"/>
          <w:sz w:val="24"/>
          <w:lang w:val="en-US" w:eastAsia="zh-CN"/>
        </w:rPr>
      </w:pPr>
      <w:r>
        <w:rPr>
          <w:rFonts w:hint="eastAsia" w:ascii="仿宋" w:hAnsi="仿宋" w:eastAsia="仿宋" w:cs="仿宋"/>
          <w:sz w:val="24"/>
          <w:lang w:val="en-US" w:eastAsia="zh-CN"/>
        </w:rPr>
        <w:t>（1）工程项目完工经双方验收合格后，支付至核定产值的80%；</w:t>
      </w:r>
    </w:p>
    <w:p w14:paraId="56215F6E">
      <w:pPr>
        <w:widowControl/>
        <w:spacing w:line="360" w:lineRule="auto"/>
        <w:ind w:firstLine="480" w:firstLineChars="200"/>
        <w:jc w:val="left"/>
        <w:rPr>
          <w:rFonts w:hint="eastAsia" w:ascii="仿宋" w:hAnsi="仿宋" w:eastAsia="仿宋" w:cs="仿宋"/>
          <w:sz w:val="24"/>
          <w:lang w:val="en-US" w:eastAsia="zh-CN"/>
        </w:rPr>
      </w:pPr>
      <w:r>
        <w:rPr>
          <w:rFonts w:hint="eastAsia" w:ascii="仿宋" w:hAnsi="仿宋" w:eastAsia="仿宋" w:cs="仿宋"/>
          <w:sz w:val="24"/>
          <w:lang w:val="en-US" w:eastAsia="zh-CN"/>
        </w:rPr>
        <w:t>（2）甲乙双方办理完结算后，三个月内甲方支付合同结算价剩余款项（合同结算价以结算审定的金额为准）；</w:t>
      </w:r>
    </w:p>
    <w:p w14:paraId="7537CC66">
      <w:pPr>
        <w:widowControl/>
        <w:spacing w:line="360" w:lineRule="auto"/>
        <w:ind w:firstLine="480" w:firstLineChars="200"/>
        <w:jc w:val="left"/>
        <w:rPr>
          <w:rFonts w:hint="eastAsia" w:ascii="仿宋" w:hAnsi="仿宋" w:eastAsia="仿宋" w:cs="仿宋"/>
          <w:sz w:val="24"/>
          <w:lang w:eastAsia="zh-CN"/>
        </w:rPr>
      </w:pPr>
      <w:r>
        <w:rPr>
          <w:rFonts w:hint="eastAsia" w:ascii="仿宋" w:hAnsi="仿宋" w:eastAsia="仿宋" w:cs="仿宋"/>
          <w:sz w:val="24"/>
          <w:lang w:val="en-US" w:eastAsia="zh-CN"/>
        </w:rPr>
        <w:t>（3）付款前，乙方应向甲方出具等额合法有效的增值税专用发票及付款申请材料，否则，甲方有权拒绝支付且不承担任何迟延履行的法律责任。</w:t>
      </w:r>
      <w:r>
        <w:rPr>
          <w:rFonts w:hint="eastAsia" w:ascii="仿宋" w:hAnsi="仿宋" w:eastAsia="仿宋" w:cs="仿宋"/>
          <w:sz w:val="24"/>
          <w:lang w:eastAsia="zh-CN"/>
        </w:rPr>
        <w:t>、</w:t>
      </w:r>
    </w:p>
    <w:p w14:paraId="4AB679D8">
      <w:pPr>
        <w:widowControl/>
        <w:spacing w:line="360" w:lineRule="auto"/>
        <w:ind w:firstLine="480" w:firstLineChars="200"/>
        <w:jc w:val="left"/>
        <w:rPr>
          <w:rFonts w:hint="eastAsia"/>
          <w:lang w:eastAsia="zh-CN"/>
        </w:rPr>
      </w:pPr>
      <w:r>
        <w:rPr>
          <w:rFonts w:hint="eastAsia" w:ascii="仿宋" w:hAnsi="仿宋" w:eastAsia="仿宋" w:cs="仿宋"/>
          <w:sz w:val="24"/>
          <w:lang w:eastAsia="zh-CN"/>
        </w:rPr>
        <w:t>（</w:t>
      </w:r>
      <w:r>
        <w:rPr>
          <w:rFonts w:hint="eastAsia" w:ascii="仿宋" w:hAnsi="仿宋" w:eastAsia="仿宋" w:cs="仿宋"/>
          <w:sz w:val="24"/>
          <w:lang w:val="en-US" w:eastAsia="zh-CN"/>
        </w:rPr>
        <w:t>4</w:t>
      </w:r>
      <w:r>
        <w:rPr>
          <w:rFonts w:hint="eastAsia" w:ascii="仿宋" w:hAnsi="仿宋" w:eastAsia="仿宋" w:cs="仿宋"/>
          <w:sz w:val="24"/>
          <w:lang w:eastAsia="zh-CN"/>
        </w:rPr>
        <w:t>）</w:t>
      </w:r>
      <w:r>
        <w:rPr>
          <w:rFonts w:hint="eastAsia" w:ascii="仿宋" w:hAnsi="仿宋" w:eastAsia="仿宋" w:cs="仿宋"/>
          <w:sz w:val="24"/>
          <w:lang w:val="en-US" w:eastAsia="zh-CN"/>
        </w:rPr>
        <w:t>甲方可采取银行转账、银承、保理、商票方式向乙方支付工程款，且甲方不承担承兑汇票的贴现费用，由乙方自理。</w:t>
      </w:r>
    </w:p>
    <w:bookmarkEnd w:id="43"/>
    <w:p w14:paraId="6BFE032E">
      <w:pPr>
        <w:spacing w:line="400" w:lineRule="exact"/>
        <w:ind w:firstLine="482" w:firstLineChars="200"/>
        <w:rPr>
          <w:rFonts w:hint="eastAsia" w:ascii="仿宋" w:hAnsi="仿宋" w:eastAsia="仿宋" w:cs="仿宋"/>
          <w:b/>
          <w:bCs/>
          <w:sz w:val="24"/>
        </w:rPr>
      </w:pPr>
      <w:bookmarkStart w:id="44" w:name="_Toc13882_WPSOffice_Level1"/>
      <w:bookmarkStart w:id="45" w:name="_Toc9159_WPSOffice_Level1"/>
      <w:bookmarkStart w:id="46" w:name="_Toc31904_WPSOffice_Level1"/>
      <w:bookmarkStart w:id="47" w:name="_Toc29054"/>
      <w:bookmarkStart w:id="48" w:name="_Toc25194_WPSOffice_Level1"/>
      <w:r>
        <w:rPr>
          <w:rFonts w:hint="eastAsia" w:ascii="仿宋" w:hAnsi="仿宋" w:eastAsia="仿宋" w:cs="仿宋"/>
          <w:b/>
          <w:bCs/>
          <w:sz w:val="24"/>
        </w:rPr>
        <w:t>八、违约责任</w:t>
      </w:r>
      <w:bookmarkEnd w:id="44"/>
      <w:bookmarkEnd w:id="45"/>
      <w:bookmarkEnd w:id="46"/>
      <w:bookmarkEnd w:id="47"/>
      <w:bookmarkEnd w:id="48"/>
      <w:r>
        <w:rPr>
          <w:rFonts w:hint="eastAsia" w:ascii="仿宋" w:hAnsi="仿宋" w:eastAsia="仿宋" w:cs="仿宋"/>
          <w:b/>
          <w:bCs/>
          <w:sz w:val="24"/>
        </w:rPr>
        <w:t xml:space="preserve"> </w:t>
      </w:r>
    </w:p>
    <w:p w14:paraId="25F2A607">
      <w:pPr>
        <w:pStyle w:val="11"/>
        <w:ind w:firstLine="480"/>
        <w:rPr>
          <w:rFonts w:hint="eastAsia" w:ascii="仿宋" w:hAnsi="仿宋" w:eastAsia="仿宋" w:cs="仿宋"/>
        </w:rPr>
      </w:pPr>
      <w:r>
        <w:rPr>
          <w:rFonts w:hint="eastAsia" w:ascii="仿宋" w:hAnsi="仿宋" w:eastAsia="仿宋" w:cs="仿宋"/>
        </w:rPr>
        <w:t>（1）乙方交付的工程质量不符合合同规定的，乙方应向甲方支付合同总价的</w:t>
      </w:r>
      <w:r>
        <w:rPr>
          <w:rFonts w:hint="eastAsia" w:ascii="仿宋" w:hAnsi="仿宋" w:eastAsia="仿宋" w:cs="仿宋"/>
          <w:u w:val="single"/>
        </w:rPr>
        <w:t>10%</w:t>
      </w:r>
      <w:r>
        <w:rPr>
          <w:rFonts w:hint="eastAsia" w:ascii="仿宋" w:hAnsi="仿宋" w:eastAsia="仿宋" w:cs="仿宋"/>
        </w:rPr>
        <w:t>的违约金。</w:t>
      </w:r>
    </w:p>
    <w:p w14:paraId="4557CF49">
      <w:pPr>
        <w:pStyle w:val="11"/>
        <w:ind w:firstLine="480"/>
        <w:rPr>
          <w:rFonts w:hint="eastAsia" w:ascii="仿宋" w:hAnsi="仿宋" w:eastAsia="仿宋" w:cs="仿宋"/>
        </w:rPr>
      </w:pPr>
      <w:r>
        <w:rPr>
          <w:rFonts w:hint="eastAsia" w:ascii="仿宋" w:hAnsi="仿宋" w:eastAsia="仿宋" w:cs="仿宋"/>
        </w:rPr>
        <w:t>（2）乙方不能按期交验该项目，应按</w:t>
      </w:r>
      <w:r>
        <w:rPr>
          <w:rFonts w:hint="eastAsia" w:ascii="仿宋" w:hAnsi="仿宋" w:eastAsia="仿宋" w:cs="仿宋"/>
          <w:u w:val="single"/>
        </w:rPr>
        <w:t>500元/天</w:t>
      </w:r>
      <w:r>
        <w:rPr>
          <w:rFonts w:hint="eastAsia" w:ascii="仿宋" w:hAnsi="仿宋" w:eastAsia="仿宋" w:cs="仿宋"/>
        </w:rPr>
        <w:t>向甲方交纳违约金；逾期超过十天，甲方有权终止合同，乙方则应按合同总金额的</w:t>
      </w:r>
      <w:r>
        <w:rPr>
          <w:rFonts w:hint="eastAsia" w:ascii="仿宋" w:hAnsi="仿宋" w:eastAsia="仿宋" w:cs="仿宋"/>
          <w:u w:val="single"/>
        </w:rPr>
        <w:t>20%</w:t>
      </w:r>
      <w:r>
        <w:rPr>
          <w:rFonts w:hint="eastAsia" w:ascii="仿宋" w:hAnsi="仿宋" w:eastAsia="仿宋" w:cs="仿宋"/>
        </w:rPr>
        <w:t>的款额向甲方偿付赔偿金，并须全额退还甲方已经付给乙方的款项及其利息。</w:t>
      </w:r>
    </w:p>
    <w:p w14:paraId="569E56E5">
      <w:pPr>
        <w:pStyle w:val="11"/>
        <w:ind w:firstLine="480"/>
        <w:rPr>
          <w:rFonts w:hint="eastAsia" w:ascii="仿宋" w:hAnsi="仿宋" w:eastAsia="仿宋" w:cs="仿宋"/>
        </w:rPr>
      </w:pPr>
      <w:r>
        <w:rPr>
          <w:rFonts w:hint="eastAsia" w:ascii="仿宋" w:hAnsi="仿宋" w:eastAsia="仿宋" w:cs="仿宋"/>
        </w:rPr>
        <w:t>（3）因乙方违约给甲方造成损失的，乙方除应赔偿甲方损失外，还应按本合同约定向甲方支付违约金，甲方损失包括但不限于甲方为实现债权产生的诉讼费、保全费、保全保险费、律师费、差旅费、公证等全部实现债权的费用。</w:t>
      </w:r>
    </w:p>
    <w:p w14:paraId="1CCC0951">
      <w:pPr>
        <w:pStyle w:val="11"/>
        <w:ind w:firstLine="480"/>
        <w:rPr>
          <w:rFonts w:hint="eastAsia" w:ascii="仿宋" w:hAnsi="仿宋" w:eastAsia="仿宋" w:cs="仿宋"/>
        </w:rPr>
      </w:pPr>
      <w:r>
        <w:rPr>
          <w:rFonts w:hint="eastAsia" w:ascii="仿宋" w:hAnsi="仿宋" w:eastAsia="仿宋" w:cs="仿宋"/>
        </w:rPr>
        <w:t>（4）合同所约定违约金及损失，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3D477DF6">
      <w:pPr>
        <w:spacing w:line="400" w:lineRule="exact"/>
        <w:ind w:firstLine="482" w:firstLineChars="200"/>
        <w:rPr>
          <w:rFonts w:hint="eastAsia" w:ascii="仿宋" w:hAnsi="仿宋" w:eastAsia="仿宋" w:cs="仿宋"/>
          <w:b/>
          <w:bCs/>
          <w:sz w:val="24"/>
        </w:rPr>
      </w:pPr>
      <w:bookmarkStart w:id="49" w:name="_Toc2556_WPSOffice_Level1"/>
      <w:bookmarkStart w:id="50" w:name="_Toc7349_WPSOffice_Level1"/>
      <w:bookmarkStart w:id="51" w:name="_Toc7654_WPSOffice_Level1"/>
      <w:bookmarkStart w:id="52" w:name="_Toc24471"/>
      <w:bookmarkStart w:id="53" w:name="_Toc24980_WPSOffice_Level1"/>
      <w:r>
        <w:rPr>
          <w:rFonts w:hint="eastAsia" w:ascii="仿宋" w:hAnsi="仿宋" w:eastAsia="仿宋" w:cs="仿宋"/>
          <w:b/>
          <w:bCs/>
          <w:sz w:val="24"/>
        </w:rPr>
        <w:t>九、不可抗力</w:t>
      </w:r>
      <w:bookmarkEnd w:id="49"/>
      <w:bookmarkEnd w:id="50"/>
      <w:bookmarkEnd w:id="51"/>
      <w:bookmarkEnd w:id="52"/>
      <w:bookmarkEnd w:id="53"/>
      <w:r>
        <w:rPr>
          <w:rFonts w:hint="eastAsia" w:ascii="仿宋" w:hAnsi="仿宋" w:eastAsia="仿宋" w:cs="仿宋"/>
          <w:b/>
          <w:bCs/>
          <w:sz w:val="24"/>
        </w:rPr>
        <w:t xml:space="preserve"> </w:t>
      </w:r>
    </w:p>
    <w:p w14:paraId="4C267C30">
      <w:pPr>
        <w:pStyle w:val="11"/>
        <w:ind w:firstLine="480"/>
        <w:rPr>
          <w:rFonts w:hint="eastAsia" w:ascii="仿宋" w:hAnsi="仿宋" w:eastAsia="仿宋" w:cs="仿宋"/>
        </w:rPr>
      </w:pPr>
      <w:r>
        <w:rPr>
          <w:rFonts w:hint="eastAsia" w:ascii="仿宋" w:hAnsi="仿宋" w:eastAsia="仿宋" w:cs="仿宋"/>
        </w:rPr>
        <w:t xml:space="preserve">不可抗力(地震、台风、水灾、疫情)发生后，乙方应迅速采取措施，尽力减少损失，并在 24 小时内向甲方通报受害情况, 甲方应对灾害处理提供必要条件，因灾害发生的费用由双方按下述原则分别承担: </w:t>
      </w:r>
    </w:p>
    <w:p w14:paraId="60813187">
      <w:pPr>
        <w:pStyle w:val="11"/>
        <w:ind w:firstLine="480"/>
        <w:rPr>
          <w:rFonts w:hint="eastAsia" w:ascii="仿宋" w:hAnsi="仿宋" w:eastAsia="仿宋" w:cs="仿宋"/>
        </w:rPr>
      </w:pPr>
      <w:r>
        <w:rPr>
          <w:rFonts w:hint="eastAsia" w:ascii="仿宋" w:hAnsi="仿宋" w:eastAsia="仿宋" w:cs="仿宋"/>
        </w:rPr>
        <w:t>1、工程因不可抗力遭受的损害由甲方承担。</w:t>
      </w:r>
    </w:p>
    <w:p w14:paraId="0BD3F409">
      <w:pPr>
        <w:pStyle w:val="11"/>
        <w:ind w:firstLine="480"/>
        <w:rPr>
          <w:rFonts w:hint="eastAsia" w:ascii="仿宋" w:hAnsi="仿宋" w:eastAsia="仿宋" w:cs="仿宋"/>
        </w:rPr>
      </w:pPr>
      <w:r>
        <w:rPr>
          <w:rFonts w:hint="eastAsia" w:ascii="仿宋" w:hAnsi="仿宋" w:eastAsia="仿宋" w:cs="仿宋"/>
        </w:rPr>
        <w:t xml:space="preserve">2、各自人员伤亡由所属单位自行负责，并承担相应费用。 </w:t>
      </w:r>
    </w:p>
    <w:p w14:paraId="7E9637BA">
      <w:pPr>
        <w:pStyle w:val="11"/>
        <w:ind w:firstLine="480"/>
        <w:rPr>
          <w:rFonts w:hint="eastAsia" w:ascii="仿宋" w:hAnsi="仿宋" w:eastAsia="仿宋" w:cs="仿宋"/>
        </w:rPr>
      </w:pPr>
      <w:r>
        <w:rPr>
          <w:rFonts w:hint="eastAsia" w:ascii="仿宋" w:hAnsi="仿宋" w:eastAsia="仿宋" w:cs="仿宋"/>
        </w:rPr>
        <w:t>3、造成乙方设备、机械、设施损坏及停工等损失，由乙方承担。</w:t>
      </w:r>
    </w:p>
    <w:p w14:paraId="66BA5781">
      <w:pPr>
        <w:spacing w:line="400" w:lineRule="exact"/>
        <w:ind w:firstLine="482" w:firstLineChars="200"/>
        <w:rPr>
          <w:rFonts w:hint="eastAsia" w:ascii="仿宋" w:hAnsi="仿宋" w:eastAsia="仿宋" w:cs="仿宋"/>
          <w:b/>
          <w:bCs/>
          <w:sz w:val="24"/>
        </w:rPr>
      </w:pPr>
      <w:bookmarkStart w:id="54" w:name="_Toc23454_WPSOffice_Level1"/>
      <w:bookmarkStart w:id="55" w:name="_Toc3946_WPSOffice_Level1"/>
      <w:bookmarkStart w:id="56" w:name="_Toc15195"/>
      <w:bookmarkStart w:id="57" w:name="_Toc20084_WPSOffice_Level1"/>
      <w:bookmarkStart w:id="58" w:name="_Toc5406_WPSOffice_Level1"/>
      <w:r>
        <w:rPr>
          <w:rFonts w:hint="eastAsia" w:ascii="仿宋" w:hAnsi="仿宋" w:eastAsia="仿宋" w:cs="仿宋"/>
          <w:b/>
          <w:bCs/>
          <w:sz w:val="24"/>
        </w:rPr>
        <w:t>十、安全施工</w:t>
      </w:r>
      <w:bookmarkEnd w:id="54"/>
      <w:bookmarkEnd w:id="55"/>
      <w:bookmarkEnd w:id="56"/>
      <w:bookmarkEnd w:id="57"/>
      <w:bookmarkEnd w:id="58"/>
      <w:r>
        <w:rPr>
          <w:rFonts w:hint="eastAsia" w:ascii="仿宋" w:hAnsi="仿宋" w:eastAsia="仿宋" w:cs="仿宋"/>
          <w:b/>
          <w:bCs/>
          <w:sz w:val="24"/>
        </w:rPr>
        <w:t xml:space="preserve"> </w:t>
      </w:r>
    </w:p>
    <w:p w14:paraId="266B3126">
      <w:pPr>
        <w:pStyle w:val="11"/>
        <w:ind w:firstLine="480"/>
        <w:rPr>
          <w:rFonts w:hint="eastAsia" w:ascii="仿宋" w:hAnsi="仿宋" w:eastAsia="仿宋" w:cs="仿宋"/>
        </w:rPr>
      </w:pPr>
      <w:r>
        <w:rPr>
          <w:rFonts w:hint="eastAsia" w:ascii="仿宋" w:hAnsi="仿宋" w:eastAsia="仿宋" w:cs="仿宋"/>
        </w:rPr>
        <w:t xml:space="preserve">1、乙方现场管理人员及施工人员进入施工现场前，必须经过安全教育，方可进场施工。 </w:t>
      </w:r>
    </w:p>
    <w:p w14:paraId="1547B2BC">
      <w:pPr>
        <w:pStyle w:val="11"/>
        <w:ind w:firstLine="480"/>
        <w:rPr>
          <w:rFonts w:hint="eastAsia" w:ascii="仿宋" w:hAnsi="仿宋" w:eastAsia="仿宋" w:cs="仿宋"/>
        </w:rPr>
      </w:pPr>
      <w:r>
        <w:rPr>
          <w:rFonts w:hint="eastAsia" w:ascii="仿宋" w:hAnsi="仿宋" w:eastAsia="仿宋" w:cs="仿宋"/>
        </w:rPr>
        <w:t>2、乙方必须按有关规定,采取严格的安全防护措施，确保安全施工。必须严格遵守国家相关规定。</w:t>
      </w:r>
    </w:p>
    <w:p w14:paraId="386ED9FA">
      <w:pPr>
        <w:pStyle w:val="11"/>
        <w:ind w:firstLine="480"/>
        <w:rPr>
          <w:rFonts w:hint="eastAsia" w:ascii="仿宋" w:hAnsi="仿宋" w:eastAsia="仿宋" w:cs="仿宋"/>
        </w:rPr>
      </w:pPr>
      <w:r>
        <w:rPr>
          <w:rFonts w:hint="eastAsia" w:ascii="仿宋" w:hAnsi="仿宋" w:eastAsia="仿宋" w:cs="仿宋"/>
        </w:rPr>
        <w:t xml:space="preserve">3、乙方必须承担由于自身安全措施不力造成事故的责任和因此发生的一切费用。 </w:t>
      </w:r>
    </w:p>
    <w:p w14:paraId="7B066397">
      <w:pPr>
        <w:pStyle w:val="11"/>
        <w:ind w:firstLine="480"/>
        <w:rPr>
          <w:rFonts w:hint="eastAsia" w:ascii="仿宋" w:hAnsi="仿宋" w:eastAsia="仿宋" w:cs="仿宋"/>
        </w:rPr>
      </w:pPr>
      <w:r>
        <w:rPr>
          <w:rFonts w:hint="eastAsia" w:ascii="仿宋" w:hAnsi="仿宋" w:eastAsia="仿宋" w:cs="仿宋"/>
        </w:rPr>
        <w:t>4、非乙方责任造成的伤亡事故，由责任方承担责任和有关费用。</w:t>
      </w:r>
    </w:p>
    <w:p w14:paraId="5CBFFCC9">
      <w:pPr>
        <w:pStyle w:val="11"/>
        <w:ind w:firstLine="480"/>
        <w:rPr>
          <w:rFonts w:hint="eastAsia" w:ascii="仿宋" w:hAnsi="仿宋" w:eastAsia="仿宋" w:cs="仿宋"/>
        </w:rPr>
      </w:pPr>
      <w:r>
        <w:rPr>
          <w:rFonts w:hint="eastAsia" w:ascii="仿宋" w:hAnsi="仿宋" w:eastAsia="仿宋" w:cs="仿宋"/>
        </w:rPr>
        <w:t>5、乙方人员违反安全操作规程、管理制度，甲方有权要求乙方进行整改，所产生的的费用由乙方承担，并且甲方有权对乙方进行处罚。</w:t>
      </w:r>
    </w:p>
    <w:p w14:paraId="250635C0">
      <w:pPr>
        <w:spacing w:line="400" w:lineRule="exact"/>
        <w:ind w:firstLine="482" w:firstLineChars="200"/>
        <w:rPr>
          <w:rFonts w:hint="eastAsia" w:ascii="仿宋" w:hAnsi="仿宋" w:eastAsia="仿宋" w:cs="仿宋"/>
          <w:b/>
          <w:bCs/>
          <w:sz w:val="24"/>
        </w:rPr>
      </w:pPr>
      <w:bookmarkStart w:id="59" w:name="_Toc4275_WPSOffice_Level1"/>
      <w:bookmarkStart w:id="60" w:name="_Toc27654_WPSOffice_Level1"/>
      <w:bookmarkStart w:id="61" w:name="_Toc28294_WPSOffice_Level1"/>
      <w:bookmarkStart w:id="62" w:name="_Toc24542_WPSOffice_Level1"/>
      <w:bookmarkStart w:id="63" w:name="_Toc724"/>
      <w:r>
        <w:rPr>
          <w:rFonts w:hint="eastAsia" w:ascii="仿宋" w:hAnsi="仿宋" w:eastAsia="仿宋" w:cs="仿宋"/>
          <w:b/>
          <w:bCs/>
          <w:sz w:val="24"/>
        </w:rPr>
        <w:t>十一、争议解决</w:t>
      </w:r>
    </w:p>
    <w:p w14:paraId="2E958E4B">
      <w:pPr>
        <w:pStyle w:val="11"/>
        <w:ind w:firstLine="480"/>
        <w:rPr>
          <w:rFonts w:hint="eastAsia" w:ascii="仿宋" w:hAnsi="仿宋" w:eastAsia="仿宋" w:cs="仿宋"/>
        </w:rPr>
      </w:pPr>
      <w:r>
        <w:rPr>
          <w:rFonts w:hint="eastAsia" w:ascii="仿宋" w:hAnsi="仿宋" w:eastAsia="仿宋" w:cs="仿宋"/>
        </w:rPr>
        <w:t>因本合同履行发生争议的，甲乙双方应当友好协商，协商不成的，任何一方可向</w:t>
      </w:r>
      <w:r>
        <w:rPr>
          <w:rFonts w:hint="eastAsia" w:ascii="仿宋" w:hAnsi="仿宋" w:eastAsia="仿宋" w:cs="仿宋"/>
          <w:lang w:val="en-US" w:eastAsia="zh-CN"/>
        </w:rPr>
        <w:t>工程所在地</w:t>
      </w:r>
      <w:r>
        <w:rPr>
          <w:rFonts w:hint="eastAsia" w:ascii="仿宋" w:hAnsi="仿宋" w:eastAsia="仿宋" w:cs="仿宋"/>
        </w:rPr>
        <w:t>人民法院起诉。</w:t>
      </w:r>
    </w:p>
    <w:p w14:paraId="22869E4A">
      <w:pPr>
        <w:spacing w:line="400" w:lineRule="exact"/>
        <w:ind w:firstLine="482" w:firstLineChars="200"/>
        <w:rPr>
          <w:rFonts w:hint="eastAsia" w:ascii="仿宋" w:hAnsi="仿宋" w:eastAsia="仿宋" w:cs="仿宋"/>
          <w:b/>
          <w:bCs/>
          <w:sz w:val="24"/>
        </w:rPr>
      </w:pPr>
      <w:r>
        <w:rPr>
          <w:rFonts w:hint="eastAsia" w:ascii="仿宋" w:hAnsi="仿宋" w:eastAsia="仿宋" w:cs="仿宋"/>
          <w:b/>
          <w:bCs/>
          <w:sz w:val="24"/>
        </w:rPr>
        <w:t>十二、通知</w:t>
      </w:r>
    </w:p>
    <w:p w14:paraId="7A9A3FDA">
      <w:pPr>
        <w:pStyle w:val="11"/>
        <w:ind w:firstLine="480"/>
        <w:rPr>
          <w:rFonts w:hint="eastAsia" w:ascii="仿宋" w:hAnsi="仿宋" w:eastAsia="仿宋" w:cs="仿宋"/>
        </w:rPr>
      </w:pPr>
      <w:r>
        <w:rPr>
          <w:rFonts w:hint="eastAsia" w:ascii="仿宋" w:hAnsi="仿宋" w:eastAsia="仿宋" w:cs="仿宋"/>
        </w:rPr>
        <w:t>双方确认合同上载明的地址、联系人、电话等均为双方进行联系的固定方式，协议履行、诉讼、执行以及其他法律程序所涉及之相关法律文件，以邮件快递寄送本合同记载的对方当事人住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31E6D693">
      <w:pPr>
        <w:spacing w:line="400" w:lineRule="exact"/>
        <w:ind w:firstLine="482" w:firstLineChars="200"/>
        <w:rPr>
          <w:rFonts w:hint="eastAsia" w:ascii="仿宋" w:hAnsi="仿宋" w:eastAsia="仿宋" w:cs="仿宋"/>
          <w:sz w:val="24"/>
        </w:rPr>
      </w:pPr>
      <w:r>
        <w:rPr>
          <w:rFonts w:hint="eastAsia" w:ascii="仿宋" w:hAnsi="仿宋" w:eastAsia="仿宋" w:cs="仿宋"/>
          <w:b/>
          <w:bCs/>
          <w:sz w:val="24"/>
        </w:rPr>
        <w:t>十三、附则</w:t>
      </w:r>
      <w:bookmarkEnd w:id="59"/>
      <w:bookmarkEnd w:id="60"/>
      <w:bookmarkEnd w:id="61"/>
      <w:bookmarkEnd w:id="62"/>
      <w:bookmarkEnd w:id="63"/>
      <w:r>
        <w:rPr>
          <w:rFonts w:hint="eastAsia" w:ascii="仿宋" w:hAnsi="仿宋" w:eastAsia="仿宋" w:cs="仿宋"/>
          <w:b/>
          <w:bCs/>
          <w:sz w:val="24"/>
        </w:rPr>
        <w:t xml:space="preserve"> </w:t>
      </w:r>
    </w:p>
    <w:p w14:paraId="11016E1E">
      <w:pPr>
        <w:pStyle w:val="11"/>
        <w:ind w:firstLine="480"/>
        <w:rPr>
          <w:rFonts w:hint="eastAsia" w:ascii="仿宋" w:hAnsi="仿宋" w:eastAsia="仿宋" w:cs="仿宋"/>
        </w:rPr>
      </w:pPr>
      <w:r>
        <w:rPr>
          <w:rFonts w:hint="eastAsia" w:ascii="仿宋" w:hAnsi="仿宋" w:eastAsia="仿宋" w:cs="仿宋"/>
        </w:rPr>
        <w:t xml:space="preserve">1、本合同未言明事项，按相关法律法规的规定执行。 </w:t>
      </w:r>
    </w:p>
    <w:p w14:paraId="5ACC2BB9">
      <w:pPr>
        <w:pStyle w:val="11"/>
        <w:ind w:firstLine="480"/>
        <w:rPr>
          <w:rFonts w:hint="eastAsia" w:ascii="仿宋" w:hAnsi="仿宋" w:eastAsia="仿宋" w:cs="仿宋"/>
          <w:kern w:val="21"/>
        </w:rPr>
      </w:pPr>
      <w:r>
        <w:rPr>
          <w:rFonts w:hint="eastAsia" w:ascii="仿宋" w:hAnsi="仿宋" w:eastAsia="仿宋" w:cs="仿宋"/>
        </w:rPr>
        <w:t>2、</w:t>
      </w:r>
      <w:r>
        <w:rPr>
          <w:rFonts w:hint="eastAsia" w:ascii="仿宋" w:hAnsi="仿宋" w:eastAsia="仿宋" w:cs="仿宋"/>
          <w:kern w:val="21"/>
        </w:rPr>
        <w:t>本合同一式</w:t>
      </w:r>
      <w:r>
        <w:rPr>
          <w:rFonts w:hint="eastAsia" w:ascii="仿宋" w:hAnsi="仿宋" w:eastAsia="仿宋" w:cs="仿宋"/>
          <w:kern w:val="21"/>
          <w:u w:val="single"/>
        </w:rPr>
        <w:t>陆</w:t>
      </w:r>
      <w:r>
        <w:rPr>
          <w:rFonts w:hint="eastAsia" w:ascii="仿宋" w:hAnsi="仿宋" w:eastAsia="仿宋" w:cs="仿宋"/>
          <w:kern w:val="21"/>
        </w:rPr>
        <w:t>份，甲方</w:t>
      </w:r>
      <w:r>
        <w:rPr>
          <w:rFonts w:hint="eastAsia" w:ascii="仿宋" w:hAnsi="仿宋" w:eastAsia="仿宋" w:cs="仿宋"/>
          <w:kern w:val="21"/>
          <w:u w:val="single"/>
        </w:rPr>
        <w:t>肆</w:t>
      </w:r>
      <w:r>
        <w:rPr>
          <w:rFonts w:hint="eastAsia" w:ascii="仿宋" w:hAnsi="仿宋" w:eastAsia="仿宋" w:cs="仿宋"/>
          <w:kern w:val="21"/>
        </w:rPr>
        <w:t>份，乙方</w:t>
      </w:r>
      <w:r>
        <w:rPr>
          <w:rFonts w:hint="eastAsia" w:ascii="仿宋" w:hAnsi="仿宋" w:eastAsia="仿宋" w:cs="仿宋"/>
          <w:kern w:val="21"/>
          <w:u w:val="single"/>
        </w:rPr>
        <w:t>贰</w:t>
      </w:r>
      <w:r>
        <w:rPr>
          <w:rFonts w:hint="eastAsia" w:ascii="仿宋" w:hAnsi="仿宋" w:eastAsia="仿宋" w:cs="仿宋"/>
          <w:kern w:val="21"/>
        </w:rPr>
        <w:t>份，自双方盖章后生效。</w:t>
      </w:r>
    </w:p>
    <w:p w14:paraId="097FA1F1">
      <w:pPr>
        <w:pStyle w:val="11"/>
        <w:ind w:firstLine="480"/>
        <w:rPr>
          <w:rFonts w:hint="eastAsia" w:ascii="仿宋" w:hAnsi="仿宋" w:eastAsia="仿宋" w:cs="仿宋"/>
          <w:kern w:val="21"/>
        </w:rPr>
      </w:pPr>
    </w:p>
    <w:p w14:paraId="5E2765DD">
      <w:pPr>
        <w:pStyle w:val="11"/>
        <w:spacing w:line="572" w:lineRule="exact"/>
        <w:ind w:firstLine="480"/>
        <w:rPr>
          <w:rFonts w:hint="eastAsia" w:ascii="仿宋" w:hAnsi="仿宋" w:eastAsia="仿宋" w:cs="仿宋"/>
        </w:rPr>
      </w:pPr>
      <w:r>
        <w:rPr>
          <w:rFonts w:hint="eastAsia" w:ascii="仿宋" w:hAnsi="仿宋" w:eastAsia="仿宋" w:cs="仿宋"/>
        </w:rPr>
        <w:t xml:space="preserve">甲方：   （盖章）   </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 xml:space="preserve">         乙方：   （盖章）</w:t>
      </w:r>
    </w:p>
    <w:p w14:paraId="5CE770C5">
      <w:pPr>
        <w:pStyle w:val="11"/>
        <w:spacing w:line="572" w:lineRule="exact"/>
        <w:ind w:firstLine="480"/>
        <w:rPr>
          <w:rFonts w:hint="eastAsia" w:ascii="仿宋" w:hAnsi="仿宋" w:eastAsia="仿宋" w:cs="仿宋"/>
        </w:rPr>
      </w:pPr>
      <w:r>
        <w:rPr>
          <w:rFonts w:hint="eastAsia" w:ascii="仿宋" w:hAnsi="仿宋" w:eastAsia="仿宋" w:cs="仿宋"/>
        </w:rPr>
        <w:t>法定代表人（授权代表）：             法定代表人（授权代表）：</w:t>
      </w:r>
    </w:p>
    <w:p w14:paraId="73339E74">
      <w:pPr>
        <w:pStyle w:val="11"/>
        <w:spacing w:line="572" w:lineRule="exact"/>
        <w:ind w:firstLine="480"/>
        <w:rPr>
          <w:rFonts w:hint="eastAsia" w:ascii="仿宋" w:hAnsi="仿宋" w:eastAsia="仿宋" w:cs="仿宋"/>
        </w:rPr>
      </w:pPr>
      <w:r>
        <w:rPr>
          <w:rFonts w:hint="eastAsia" w:ascii="仿宋" w:hAnsi="仿宋" w:eastAsia="仿宋" w:cs="仿宋"/>
        </w:rPr>
        <w:t>电话：                              电话：</w:t>
      </w:r>
    </w:p>
    <w:p w14:paraId="5913C78F">
      <w:pPr>
        <w:pStyle w:val="11"/>
        <w:spacing w:line="572" w:lineRule="exact"/>
        <w:ind w:firstLine="480"/>
        <w:rPr>
          <w:rFonts w:hint="eastAsia" w:ascii="仿宋" w:hAnsi="仿宋" w:eastAsia="仿宋" w:cs="仿宋"/>
        </w:rPr>
      </w:pPr>
      <w:r>
        <w:rPr>
          <w:rFonts w:hint="eastAsia" w:ascii="仿宋" w:hAnsi="仿宋" w:eastAsia="仿宋" w:cs="仿宋"/>
        </w:rPr>
        <w:t xml:space="preserve">日期：    年    月    日 </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 xml:space="preserve">  日期：   年   月   日</w:t>
      </w:r>
    </w:p>
    <w:p w14:paraId="2868D842">
      <w:r>
        <w:rPr>
          <w:rFonts w:ascii="仿宋" w:hAnsi="仿宋" w:eastAsia="仿宋" w:cs="仿宋"/>
          <w:sz w:val="24"/>
        </w:rPr>
        <w:br w:type="page"/>
      </w:r>
    </w:p>
    <w:p w14:paraId="3DD289E9"/>
    <w:p w14:paraId="0638F2C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附件一：             </w:t>
      </w:r>
    </w:p>
    <w:p w14:paraId="36EFC412">
      <w:pPr>
        <w:spacing w:line="420" w:lineRule="exact"/>
        <w:jc w:val="cente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安全生产协议书</w:t>
      </w:r>
      <w:bookmarkEnd w:id="3"/>
      <w:bookmarkEnd w:id="4"/>
      <w:bookmarkEnd w:id="5"/>
      <w:bookmarkEnd w:id="6"/>
      <w:bookmarkEnd w:id="7"/>
    </w:p>
    <w:p w14:paraId="3F12CEF0">
      <w:pPr>
        <w:spacing w:line="420" w:lineRule="exact"/>
        <w:rPr>
          <w:rFonts w:hint="eastAsia" w:ascii="仿宋" w:hAnsi="仿宋" w:eastAsia="仿宋" w:cs="仿宋"/>
          <w:color w:val="auto"/>
          <w:sz w:val="24"/>
          <w:highlight w:val="none"/>
          <w:lang w:val="en-US" w:eastAsia="zh-CN"/>
        </w:rPr>
      </w:pPr>
    </w:p>
    <w:p w14:paraId="553E56E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w:t>
      </w:r>
    </w:p>
    <w:p w14:paraId="762CB0D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w:t>
      </w:r>
    </w:p>
    <w:p w14:paraId="19940D30">
      <w:pPr>
        <w:spacing w:line="420" w:lineRule="exact"/>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为了确保工程项目的施工安全管理达到《建筑施工安全检查标准》（JGJ59—2011）及配套系列安全标准规范的规定，为确保施工过程中无伤亡，特签订本协议，以明确双方职责，共同遵守。</w:t>
      </w:r>
    </w:p>
    <w:p w14:paraId="328E687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第一条  工程名称：                                                       </w:t>
      </w:r>
    </w:p>
    <w:p w14:paraId="66C2403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第二条  协议内容：                                          </w:t>
      </w:r>
    </w:p>
    <w:p w14:paraId="3008379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一.乙方应确保实现以下安全管理目标</w:t>
      </w:r>
    </w:p>
    <w:p w14:paraId="1EC99367">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1．生产安全死亡责任事故为0，重伤事故为0；施工现场火灾事故为0。</w:t>
      </w:r>
    </w:p>
    <w:p w14:paraId="7D17DBFC">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2．施工现场的粉尘、污水、施工场界噪声排放达到标准，现场固体废弃物丢弃符合成都市规定；环境污染事故为0。</w:t>
      </w:r>
    </w:p>
    <w:p w14:paraId="3820E92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3．职业病发生例为0。</w:t>
      </w:r>
    </w:p>
    <w:p w14:paraId="0A21C827">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4．负面事件为0，防疫目标：零感染，零确诊。</w:t>
      </w:r>
    </w:p>
    <w:p w14:paraId="1564DF32">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5．隐患整改率为100%；安全技术、安全防护和安全措施100%的落实；特种人员持证上岗率100%。</w:t>
      </w:r>
    </w:p>
    <w:p w14:paraId="22B7F3AE">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6.现场安全文明施工配置标准应符合《德阳市建设工程施工现场暨安全生产标准化管理图册》的标准要求。</w:t>
      </w:r>
    </w:p>
    <w:p w14:paraId="1F06D25C">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7.专职安全管理人员姓名     ，（安全资格证书：上岗证    ，安全考核证书      ）等到岗履职；特种人员持有效证件上岗率  100%  。</w:t>
      </w:r>
    </w:p>
    <w:p w14:paraId="5CA5D394">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8.安全专项方案执行率  100  %  ；隐患按时整改率  100  % 。</w:t>
      </w:r>
    </w:p>
    <w:p w14:paraId="42A9A81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二.甲方的权利、义务</w:t>
      </w:r>
    </w:p>
    <w:p w14:paraId="1D7C269C">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1.严格执行国家及地方有关安全生产的法律法规、标准规范和规定，对施工现场的安全生产负总责。</w:t>
      </w:r>
    </w:p>
    <w:p w14:paraId="615DBF6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2.制定项目各项安全生产规章制度，建立施工现场安全生产管理机构，配备专职安全生产管理人员。</w:t>
      </w:r>
    </w:p>
    <w:p w14:paraId="59B33F9C">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3.督促乙方落实安全防护措施，对于乙方不按要求落实或整改安全防护措施的，可以由甲方另行安排落实，费用以违约金的方式在分包工程款中扣除。</w:t>
      </w:r>
    </w:p>
    <w:p w14:paraId="7D281F77">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4.按有关规定和合同约定及时支付安全文明施工措施费。</w:t>
      </w:r>
    </w:p>
    <w:p w14:paraId="43005D0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5.负责对乙方作进场安全总交底。</w:t>
      </w:r>
    </w:p>
    <w:p w14:paraId="45D0C3A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6.负责作业人员的“三级安全教育”和危险性较大的分部分项工程安全技术交底。</w:t>
      </w:r>
    </w:p>
    <w:p w14:paraId="0E98FC5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对乙方实施的各项安全设施、设备及其安全生产行为具有监督、管理、验收和检查权；对乙方施工现场存在的安全隐患以及违章指挥、违章作业、违反劳动纪律的行为，有权进行纠正、教育，并依据本协议进行违约处罚。</w:t>
      </w:r>
    </w:p>
    <w:p w14:paraId="200A3CC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三.乙方的权利、义务</w:t>
      </w:r>
    </w:p>
    <w:p w14:paraId="32E76C2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1.严格执行国家标准规范和规定以及甲方的安全生产规章制度（详甲方制度汇编），服从甲方的安全生产管理，并对本单位承包的施工区域和作业活动的安全生产负责。</w:t>
      </w:r>
    </w:p>
    <w:p w14:paraId="61F854B9">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2.乙方应对本项目管理人员及作业人员签订安全生产责任书，建立完善覆盖全员的安全责任体系，并实行安全履职考核，采取奖罚措施促使项目各岗位人员安全履职到位。</w:t>
      </w:r>
    </w:p>
    <w:p w14:paraId="5A15A3B7">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按合同配置专职安全员到位并有效履职，安全员所持有效证书单位名称必须是本公司的，甲方需要时乙方要无条件将安全员证书上的单位名称变更成甲方单位名称（劳务合同及薪酬仍由乙方签订与支付）安全体系共建共管的需要，工程项目结束后可变更为原单位。乙方安全员必须和甲方安全员合署办公，专职从事安全管理工作，其薪酬中不低于1000元/月·人的工资由乙方考核发放。每作业班组至少指定一名安全协管员。分包安全协管员按照200元/月·人的标准发放岗位津贴，由乙方出资，甲方统一考核发放，费用在乙方工程款中扣除。</w:t>
      </w:r>
    </w:p>
    <w:p w14:paraId="4205171A">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4.按照甲方的要求及时上报安全管理资料，做到准确、完备。</w:t>
      </w:r>
    </w:p>
    <w:p w14:paraId="5AC34618">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乙方必须确保安全文明施工措施费有效投入使用，严格按有关规定和方案落实安全防护措施确保规范、有效，乙方对本单位施工区域内安全防护设施、施工用电设备和临时用电的搭设、拆除、维护和改造及其使用等负责。</w:t>
      </w:r>
    </w:p>
    <w:p w14:paraId="72C7045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6.由于乙方安全措施不落实、安全责任不落实和违章指挥、违章作业、违反劳动纪律造成事故的责任和因此而发生的费用由乙方承担。给甲方造成损失的，乙方负责赔偿。</w:t>
      </w:r>
    </w:p>
    <w:p w14:paraId="563F084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7.乙方应在每批次人员进场前向甲方提交所有进场人员的个人身份信息材料及身体状况声明书，经甲方审查合格的方准进场。</w:t>
      </w:r>
    </w:p>
    <w:p w14:paraId="67B531F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8.乙方必须接受甲方的进场安全总交底；在危险性较大的分部分项工程作业前通知甲方对从业人员进行有针对性的安全技术交底，未经安全技术交底和作业许可不得擅自作业。</w:t>
      </w:r>
    </w:p>
    <w:p w14:paraId="7D708F8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9.负责做好本单位从业人员的日常安全教育、班前教育活动。</w:t>
      </w:r>
    </w:p>
    <w:p w14:paraId="1432FD03">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乙方各工种的施工人员进场时，必须通知甲方组织“三级安全教育”，每半月必须进行安全教育学习，强化安全操作规程。安全教育记录签字必须由本人签字盖手印，严禁代签。对于现场存在违规违章现象和行为以及被甲方查处的不安全现象和行为，分包方必须在施工现场张贴通告，对有关责任人员进行安全教育，内部学习整顿后方可复工。乙方必须执行安全教育制度，并做好跟踪检查管理工作，未按规定接受“三级安全教育”的人员，不得进场作业。</w:t>
      </w:r>
    </w:p>
    <w:p w14:paraId="0756006A">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11.乙方项目经理、安全员及其他有关人员必须准时参加甲方通知召开的各项安全生产会议。</w:t>
      </w:r>
    </w:p>
    <w:p w14:paraId="5062ED5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12.乙方负责提供特种作业人员信息，特种作业操作证报甲方审查、备案，特种作业人员必须持有效证件上岗。</w:t>
      </w:r>
    </w:p>
    <w:p w14:paraId="1529FCB4">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13.使用非责任区域安全防护设备、设施前，必须向甲方申请，办理相关手续，并负责使用期间的检查和维护。对在使用期间造成的安全事故或未遂事故负全责。</w:t>
      </w:r>
    </w:p>
    <w:p w14:paraId="76D5A49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14.每日对施工区域进行检查，发现隐患及时整改。对甲方下发的隐患通知进行及时整改。在安全检查中发现非责任区域存在安全隐患，有义务及时向甲方报告。</w:t>
      </w:r>
    </w:p>
    <w:p w14:paraId="2B06BD83">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15.用工管理：</w:t>
      </w:r>
    </w:p>
    <w:p w14:paraId="3322EAA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15.1负责为现场从业人员办理合法用工手续和工伤保险，并支付保险费用，对用工的合法性合规性负责。</w:t>
      </w:r>
    </w:p>
    <w:p w14:paraId="3813DD09">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15.2不得聘用18周岁以下、55周岁以上年龄人员及患心脏病、癫痫、吸食国家违禁药品等其他不适合现场作业人员进场作业。</w:t>
      </w:r>
    </w:p>
    <w:p w14:paraId="2C9524D9">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15.3乙方应及时协调解决因本分包工程与附近居民或其他单位产生的一切矛盾。</w:t>
      </w:r>
    </w:p>
    <w:p w14:paraId="7C07070E">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15.4因乙方违反以上约定所造成的案件、事件、事故等，其经济责任及法律责任均由乙方承担，因此造成甲方的经济损失由乙方承担。</w:t>
      </w:r>
    </w:p>
    <w:p w14:paraId="390F0D3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15.5负责为本单位从业人员提供符合国家标准的个人劳动防护用品，并监督、教育其正确佩带和使用。</w:t>
      </w:r>
    </w:p>
    <w:p w14:paraId="6DE4901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15.6乙方要按照职业病防治相关规定要求防治职业病，对涉及到有可能发生职业病危害的场所，要张贴警示和告知书。</w:t>
      </w:r>
    </w:p>
    <w:p w14:paraId="4A4C7FD8">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15.7有权对施工现场安全生产工作提出意见和建议；有权拒绝甲方违反安全生产法律法规的工作指令。</w:t>
      </w:r>
    </w:p>
    <w:p w14:paraId="461711D2">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16.在施工现场内发生生产安全事故后，必须立即向甲方报告，并立即按照甲方项目应急预案组织应急救援抢险工作，及时有效处置伤亡人员善后事宜。同时，接受甲方及上级部门的事故调查工作。</w:t>
      </w:r>
    </w:p>
    <w:p w14:paraId="7A5EA3E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四.违约和索赔</w:t>
      </w:r>
    </w:p>
    <w:p w14:paraId="43D1B313">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1.由于乙方责任造成生产安全事故，导致甲方、乙方人员或第三方人员受伤或死亡的，由乙方承担事故法律责任和经济责任。</w:t>
      </w:r>
    </w:p>
    <w:p w14:paraId="053F4334">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2.由于双方责任造成的生产安全事故，根据政府有关部门的责任认定，承担相应的事故法律责任和经济责任。</w:t>
      </w:r>
    </w:p>
    <w:p w14:paraId="27A45FB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发生生产安全事故后，由于隐瞒不报、谎报、故意拖延上报、故意破坏事故现场，或者无正当理由拒绝接受调查、拒绝提供有关情况和资料，而导致事故性质变化，事故严重程度加剧的，由责任方承担全部法律责任和经济责任，连带方可依法进行索赔。</w:t>
      </w:r>
    </w:p>
    <w:p w14:paraId="10933C4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4.违约处罚：</w:t>
      </w:r>
    </w:p>
    <w:p w14:paraId="06436022">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⑴由于乙方责任造成生产安全事故，导致甲方、乙方或第三方人员死亡的，除由乙方承担事故全部法律责任和经济责任（包括政府部门行政处罚，项目业主单位依据合同对甲方的处罚，对死亡者家属的赔偿、补偿）外，甲方对乙方处以罚款  5.0～50.0  万元/人；</w:t>
      </w:r>
    </w:p>
    <w:p w14:paraId="014DEB80">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⑵由于乙方责任造成生产安全事故，导致甲方、乙方或第三方人员重伤的，由乙方承担事故法律责任和经济责任（包括政府部门行政处罚，项目业主单位依据合同对甲方的处罚，对伤者的赔偿、补偿）外，甲方对乙方处以罚款2.0～20.0 万元/人；</w:t>
      </w:r>
    </w:p>
    <w:p w14:paraId="41F1D64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⑶由于乙方责任造成生产安全事故，导致甲方、乙方或第三方人员轻伤的，由乙方承担事故法律责任和经济责任（包括政府部门行政处罚，项目业主单位依据合同对甲方的处罚，对伤者的赔偿、补偿）外，甲方对乙方处以罚款  0.5～5.0  万元；</w:t>
      </w:r>
    </w:p>
    <w:p w14:paraId="4D3FE12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⑷除以下情形外，乙方未履行本协议第三条约定的各项安全生产责任义务的，甲方有权按0.2～2.0万元/次追究乙方违约责任：</w:t>
      </w:r>
    </w:p>
    <w:p w14:paraId="6D16581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①乙方未按要求及时足额配备专职安全生产人员的，甲方对乙方处以罚款1万元/人；专职安全员未到现场履职的，甲方对乙方处以罚款0.1万元/人·天，</w:t>
      </w:r>
    </w:p>
    <w:p w14:paraId="08148CB2">
      <w:pPr>
        <w:spacing w:line="420" w:lineRule="exact"/>
        <w:ind w:left="0" w:leftChars="0"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②乙方对新进场从业人员未通知甲方进行三级教育、安全技术交底的，甲方对乙方处以罚款  200 元/人·次；</w:t>
      </w:r>
    </w:p>
    <w:p w14:paraId="77800F2B">
      <w:pPr>
        <w:spacing w:line="420" w:lineRule="exact"/>
        <w:ind w:left="0" w:leftChars="0"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③乙方违反施工组织设计、施工方案的，甲方对乙方处以罚款  0.5～5.0  万元/项；</w:t>
      </w:r>
    </w:p>
    <w:p w14:paraId="5D4F8333">
      <w:pPr>
        <w:spacing w:line="420" w:lineRule="exact"/>
        <w:ind w:left="0" w:leftChars="0"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④乙方在本单位施工区域内未落实安全技术措施，安全隐患长时间存在且整改不力的，甲方对乙方处以罚款  0.5～2.0  万元/次；</w:t>
      </w:r>
    </w:p>
    <w:p w14:paraId="647CB9E8">
      <w:pPr>
        <w:spacing w:line="420" w:lineRule="exact"/>
        <w:ind w:left="0" w:leftChars="0"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⑤因乙方责任使项目或甲方受到政府相关部门及项目业主单位处罚的，除由乙方承担处罚金和相应损失外，甲方对乙方另行处以罚款  1.0～10.0  万元；</w:t>
      </w:r>
    </w:p>
    <w:p w14:paraId="6FDCAEF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（6）因乙方责任造成作业现场违反安全文明施工规定被新闻媒体曝光、政府机关部门通报批评、第三方投诉、纠纷等情形给甲方造成不良影响和经济损失的，除由乙方承担全部损失外的，甲方对乙方处以罚款  1.0～10.0  万元。</w:t>
      </w:r>
    </w:p>
    <w:p w14:paraId="3457DF08">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在同一项目连续三个月安全考核排名末位或者安全考核分数在70分以下的，以及由甲方定期组织的安全考核中一年内两次排名末位或者安全考核分数在70分以下的，除按甲方管理规定及考核制度进行奖罚外，甲方对乙方暂停投标半年。</w:t>
      </w:r>
    </w:p>
    <w:p w14:paraId="145A22F9">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（8）乙方应为施工人员提供安全作业环境 ，应对所有人员进场人员进行安全教育并严控施工作业人员的不安全行为，由甲方两级公司及项目部组织的安全文明施工检查中，发现施工现场出现以下重大危险点（源）以及未达到甲方安全要求的，按照下表中的金额向甲方支付违约金：</w:t>
      </w:r>
    </w:p>
    <w:p w14:paraId="2AA24628">
      <w:pPr>
        <w:spacing w:line="420" w:lineRule="exact"/>
        <w:rPr>
          <w:rFonts w:hint="eastAsia" w:ascii="仿宋" w:hAnsi="仿宋" w:eastAsia="仿宋" w:cs="仿宋"/>
          <w:color w:val="auto"/>
          <w:sz w:val="24"/>
          <w:highlight w:val="none"/>
          <w:lang w:val="en-US" w:eastAsia="zh-CN"/>
        </w:rPr>
      </w:pPr>
    </w:p>
    <w:tbl>
      <w:tblPr>
        <w:tblStyle w:val="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43"/>
        <w:gridCol w:w="4678"/>
        <w:gridCol w:w="1701"/>
      </w:tblGrid>
      <w:tr w14:paraId="77DF2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14:paraId="58AE35C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序号</w:t>
            </w:r>
          </w:p>
        </w:tc>
        <w:tc>
          <w:tcPr>
            <w:tcW w:w="1843" w:type="dxa"/>
            <w:noWrap w:val="0"/>
            <w:vAlign w:val="center"/>
          </w:tcPr>
          <w:p w14:paraId="34B4F95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事项</w:t>
            </w:r>
          </w:p>
        </w:tc>
        <w:tc>
          <w:tcPr>
            <w:tcW w:w="4678" w:type="dxa"/>
            <w:noWrap w:val="0"/>
            <w:vAlign w:val="center"/>
          </w:tcPr>
          <w:p w14:paraId="1620E9B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要求</w:t>
            </w:r>
          </w:p>
        </w:tc>
        <w:tc>
          <w:tcPr>
            <w:tcW w:w="1701" w:type="dxa"/>
            <w:noWrap w:val="0"/>
            <w:vAlign w:val="center"/>
          </w:tcPr>
          <w:p w14:paraId="50E361B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违约金金额</w:t>
            </w:r>
          </w:p>
        </w:tc>
      </w:tr>
      <w:tr w14:paraId="1635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2EC976B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w:t>
            </w:r>
          </w:p>
        </w:tc>
        <w:tc>
          <w:tcPr>
            <w:tcW w:w="8222" w:type="dxa"/>
            <w:gridSpan w:val="3"/>
            <w:noWrap w:val="0"/>
            <w:vAlign w:val="center"/>
          </w:tcPr>
          <w:p w14:paraId="34F5A8E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文明施工</w:t>
            </w:r>
          </w:p>
        </w:tc>
      </w:tr>
      <w:tr w14:paraId="0AF5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29EF6B6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noWrap w:val="0"/>
            <w:vAlign w:val="center"/>
          </w:tcPr>
          <w:p w14:paraId="0B43745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w:t>
            </w:r>
          </w:p>
        </w:tc>
        <w:tc>
          <w:tcPr>
            <w:tcW w:w="4678" w:type="dxa"/>
            <w:noWrap w:val="0"/>
            <w:vAlign w:val="center"/>
          </w:tcPr>
          <w:p w14:paraId="4174350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道路畅通，排水畅通，地面无积水，泥浆、污废水不直接排放，设置吸烟处、无随意吸烟，场地清爽、洁净</w:t>
            </w:r>
          </w:p>
        </w:tc>
        <w:tc>
          <w:tcPr>
            <w:tcW w:w="1701" w:type="dxa"/>
            <w:noWrap w:val="0"/>
            <w:vAlign w:val="center"/>
          </w:tcPr>
          <w:p w14:paraId="3321E61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1BDC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0717FF1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7613A7E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材料堆放</w:t>
            </w:r>
          </w:p>
        </w:tc>
        <w:tc>
          <w:tcPr>
            <w:tcW w:w="4678" w:type="dxa"/>
            <w:noWrap w:val="0"/>
            <w:vAlign w:val="center"/>
          </w:tcPr>
          <w:p w14:paraId="188A32B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按平面布局堆放，堆放整齐，挂牌，易燃易爆物品分类存放，建筑垃圾堆放整齐并挂牌，工完场地清</w:t>
            </w:r>
          </w:p>
        </w:tc>
        <w:tc>
          <w:tcPr>
            <w:tcW w:w="1701" w:type="dxa"/>
            <w:noWrap w:val="0"/>
            <w:vAlign w:val="center"/>
          </w:tcPr>
          <w:p w14:paraId="5160D4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4B149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08E717A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66440D9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现场住宿</w:t>
            </w:r>
          </w:p>
        </w:tc>
        <w:tc>
          <w:tcPr>
            <w:tcW w:w="4678" w:type="dxa"/>
            <w:noWrap w:val="0"/>
            <w:vAlign w:val="center"/>
          </w:tcPr>
          <w:p w14:paraId="4179BA9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办公、生活、作业区明显划分，在建工程内无住宿，周围环境安全、卫生</w:t>
            </w:r>
          </w:p>
        </w:tc>
        <w:tc>
          <w:tcPr>
            <w:tcW w:w="1701" w:type="dxa"/>
            <w:noWrap w:val="0"/>
            <w:vAlign w:val="center"/>
          </w:tcPr>
          <w:p w14:paraId="6A5043C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200元/次</w:t>
            </w:r>
          </w:p>
        </w:tc>
      </w:tr>
      <w:tr w14:paraId="27B77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26FA0E6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43F7FB1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现场防火</w:t>
            </w:r>
          </w:p>
        </w:tc>
        <w:tc>
          <w:tcPr>
            <w:tcW w:w="4678" w:type="dxa"/>
            <w:noWrap w:val="0"/>
            <w:vAlign w:val="center"/>
          </w:tcPr>
          <w:p w14:paraId="5AC5E17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灭火器材配置合理，消防措施建立，高层消防水源满足要求，动火经监理审批并设人监护</w:t>
            </w:r>
          </w:p>
        </w:tc>
        <w:tc>
          <w:tcPr>
            <w:tcW w:w="1701" w:type="dxa"/>
            <w:noWrap w:val="0"/>
            <w:vAlign w:val="center"/>
          </w:tcPr>
          <w:p w14:paraId="0D857B6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4464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17309A3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w:t>
            </w:r>
          </w:p>
        </w:tc>
        <w:tc>
          <w:tcPr>
            <w:tcW w:w="1843" w:type="dxa"/>
            <w:noWrap w:val="0"/>
            <w:vAlign w:val="center"/>
          </w:tcPr>
          <w:p w14:paraId="2BF6129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标识标牌</w:t>
            </w:r>
          </w:p>
        </w:tc>
        <w:tc>
          <w:tcPr>
            <w:tcW w:w="4678" w:type="dxa"/>
            <w:noWrap w:val="0"/>
            <w:vAlign w:val="center"/>
          </w:tcPr>
          <w:p w14:paraId="008A7EC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按规范设置，安全标语有警示作用，宣传栏、读报栏、黑板报有效利用</w:t>
            </w:r>
          </w:p>
        </w:tc>
        <w:tc>
          <w:tcPr>
            <w:tcW w:w="1701" w:type="dxa"/>
            <w:noWrap w:val="0"/>
            <w:vAlign w:val="center"/>
          </w:tcPr>
          <w:p w14:paraId="72BB2FF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50元/处</w:t>
            </w:r>
          </w:p>
        </w:tc>
      </w:tr>
      <w:tr w14:paraId="51980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5" w:type="dxa"/>
            <w:noWrap w:val="0"/>
            <w:vAlign w:val="center"/>
          </w:tcPr>
          <w:p w14:paraId="2385955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w:t>
            </w:r>
          </w:p>
        </w:tc>
        <w:tc>
          <w:tcPr>
            <w:tcW w:w="1843" w:type="dxa"/>
            <w:noWrap w:val="0"/>
            <w:vAlign w:val="center"/>
          </w:tcPr>
          <w:p w14:paraId="425136E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生活设施</w:t>
            </w:r>
          </w:p>
        </w:tc>
        <w:tc>
          <w:tcPr>
            <w:tcW w:w="4678" w:type="dxa"/>
            <w:noWrap w:val="0"/>
            <w:vAlign w:val="center"/>
          </w:tcPr>
          <w:p w14:paraId="609712B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厕所卫生，无随地便溺，食堂卫生，生活垃圾及时清理</w:t>
            </w:r>
          </w:p>
        </w:tc>
        <w:tc>
          <w:tcPr>
            <w:tcW w:w="1701" w:type="dxa"/>
            <w:noWrap w:val="0"/>
            <w:vAlign w:val="center"/>
          </w:tcPr>
          <w:p w14:paraId="43DF754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50元/处</w:t>
            </w:r>
          </w:p>
        </w:tc>
      </w:tr>
      <w:tr w14:paraId="79507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25593AD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w:t>
            </w:r>
          </w:p>
        </w:tc>
        <w:tc>
          <w:tcPr>
            <w:tcW w:w="1843" w:type="dxa"/>
            <w:noWrap w:val="0"/>
            <w:vAlign w:val="center"/>
          </w:tcPr>
          <w:p w14:paraId="1808648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临时用电</w:t>
            </w:r>
          </w:p>
        </w:tc>
        <w:tc>
          <w:tcPr>
            <w:tcW w:w="4678" w:type="dxa"/>
            <w:noWrap w:val="0"/>
            <w:vAlign w:val="center"/>
          </w:tcPr>
          <w:p w14:paraId="1E35A265">
            <w:pPr>
              <w:spacing w:line="420" w:lineRule="exact"/>
              <w:rPr>
                <w:rFonts w:hint="eastAsia" w:ascii="仿宋" w:hAnsi="仿宋" w:eastAsia="仿宋" w:cs="仿宋"/>
                <w:color w:val="auto"/>
                <w:sz w:val="24"/>
                <w:highlight w:val="none"/>
                <w:lang w:val="en-US" w:eastAsia="zh-CN"/>
              </w:rPr>
            </w:pPr>
          </w:p>
        </w:tc>
        <w:tc>
          <w:tcPr>
            <w:tcW w:w="1701" w:type="dxa"/>
            <w:noWrap w:val="0"/>
            <w:vAlign w:val="center"/>
          </w:tcPr>
          <w:p w14:paraId="7D0D41E9">
            <w:pPr>
              <w:spacing w:line="420" w:lineRule="exact"/>
              <w:rPr>
                <w:rFonts w:hint="eastAsia" w:ascii="仿宋" w:hAnsi="仿宋" w:eastAsia="仿宋" w:cs="仿宋"/>
                <w:color w:val="auto"/>
                <w:sz w:val="24"/>
                <w:highlight w:val="none"/>
                <w:lang w:val="en-US" w:eastAsia="zh-CN"/>
              </w:rPr>
            </w:pPr>
          </w:p>
        </w:tc>
      </w:tr>
      <w:tr w14:paraId="1A13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5BCAD75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noWrap w:val="0"/>
            <w:vAlign w:val="center"/>
          </w:tcPr>
          <w:p w14:paraId="371EDC9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临电方案实施</w:t>
            </w:r>
          </w:p>
        </w:tc>
        <w:tc>
          <w:tcPr>
            <w:tcW w:w="4678" w:type="dxa"/>
            <w:noWrap w:val="0"/>
            <w:vAlign w:val="center"/>
          </w:tcPr>
          <w:p w14:paraId="03257A5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临电搭设必须按经批准的临电方案实施。</w:t>
            </w:r>
          </w:p>
        </w:tc>
        <w:tc>
          <w:tcPr>
            <w:tcW w:w="1701" w:type="dxa"/>
            <w:noWrap w:val="0"/>
            <w:vAlign w:val="center"/>
          </w:tcPr>
          <w:p w14:paraId="316416A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500元/处</w:t>
            </w:r>
          </w:p>
        </w:tc>
      </w:tr>
      <w:tr w14:paraId="7A24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3CF9D6E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2558B40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电源线路按方案施工</w:t>
            </w:r>
          </w:p>
        </w:tc>
        <w:tc>
          <w:tcPr>
            <w:tcW w:w="4678" w:type="dxa"/>
            <w:noWrap w:val="0"/>
            <w:vAlign w:val="center"/>
          </w:tcPr>
          <w:p w14:paraId="225198E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所有电源配线应为3相5线制（TN-S系统）。</w:t>
            </w:r>
          </w:p>
        </w:tc>
        <w:tc>
          <w:tcPr>
            <w:tcW w:w="1701" w:type="dxa"/>
            <w:noWrap w:val="0"/>
            <w:vAlign w:val="center"/>
          </w:tcPr>
          <w:p w14:paraId="03130AB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432F1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675" w:type="dxa"/>
            <w:noWrap w:val="0"/>
            <w:vAlign w:val="center"/>
          </w:tcPr>
          <w:p w14:paraId="0C14BF1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67EE0EB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箱体规范</w:t>
            </w:r>
          </w:p>
        </w:tc>
        <w:tc>
          <w:tcPr>
            <w:tcW w:w="4678" w:type="dxa"/>
            <w:noWrap w:val="0"/>
            <w:vAlign w:val="center"/>
          </w:tcPr>
          <w:p w14:paraId="4F6CD35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所有配电箱应绘制箱体系统图，并依照系统图配置回路。配电箱完整，并在箱门标示所属单位名称、责任人姓名及联系方式，三级配电箱外侧必须使用航空插座。</w:t>
            </w:r>
          </w:p>
        </w:tc>
        <w:tc>
          <w:tcPr>
            <w:tcW w:w="1701" w:type="dxa"/>
            <w:noWrap w:val="0"/>
            <w:vAlign w:val="center"/>
          </w:tcPr>
          <w:p w14:paraId="6020451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1000.00元～2000.00元/箱</w:t>
            </w:r>
          </w:p>
        </w:tc>
      </w:tr>
      <w:tr w14:paraId="45E0F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52DB8A6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7BBCCF3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熔丝符合规范</w:t>
            </w:r>
          </w:p>
        </w:tc>
        <w:tc>
          <w:tcPr>
            <w:tcW w:w="4678" w:type="dxa"/>
            <w:noWrap w:val="0"/>
            <w:vAlign w:val="center"/>
          </w:tcPr>
          <w:p w14:paraId="44A8674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依照设计要求配置符合安全熔断要求的保险丝，严禁使用铜丝、钢丝等替代。</w:t>
            </w:r>
          </w:p>
        </w:tc>
        <w:tc>
          <w:tcPr>
            <w:tcW w:w="1701" w:type="dxa"/>
            <w:noWrap w:val="0"/>
            <w:vAlign w:val="center"/>
          </w:tcPr>
          <w:p w14:paraId="19100DD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200元～2000元/处</w:t>
            </w:r>
          </w:p>
        </w:tc>
      </w:tr>
      <w:tr w14:paraId="6B77D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3B713B2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w:t>
            </w:r>
          </w:p>
        </w:tc>
        <w:tc>
          <w:tcPr>
            <w:tcW w:w="1843" w:type="dxa"/>
            <w:noWrap w:val="0"/>
            <w:vAlign w:val="center"/>
          </w:tcPr>
          <w:p w14:paraId="11EBF13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电气设备接地接零</w:t>
            </w:r>
          </w:p>
        </w:tc>
        <w:tc>
          <w:tcPr>
            <w:tcW w:w="4678" w:type="dxa"/>
            <w:noWrap w:val="0"/>
            <w:vAlign w:val="center"/>
          </w:tcPr>
          <w:p w14:paraId="4FBA02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带电机的设备如卷扬机、升降机或用电瞬间负荷大的设备都必须重复接地。</w:t>
            </w:r>
          </w:p>
        </w:tc>
        <w:tc>
          <w:tcPr>
            <w:tcW w:w="1701" w:type="dxa"/>
            <w:noWrap w:val="0"/>
            <w:vAlign w:val="center"/>
          </w:tcPr>
          <w:p w14:paraId="6E1C60E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100.00元～1000.00元/处</w:t>
            </w:r>
          </w:p>
        </w:tc>
      </w:tr>
      <w:tr w14:paraId="54950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06D19F2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w:t>
            </w:r>
          </w:p>
        </w:tc>
        <w:tc>
          <w:tcPr>
            <w:tcW w:w="1843" w:type="dxa"/>
            <w:noWrap w:val="0"/>
            <w:vAlign w:val="center"/>
          </w:tcPr>
          <w:p w14:paraId="4C69D48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动力照明分开</w:t>
            </w:r>
          </w:p>
        </w:tc>
        <w:tc>
          <w:tcPr>
            <w:tcW w:w="4678" w:type="dxa"/>
            <w:noWrap w:val="0"/>
            <w:vAlign w:val="center"/>
          </w:tcPr>
          <w:p w14:paraId="292C299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施工现场配电必须将动力电与照明用电分开设置。</w:t>
            </w:r>
          </w:p>
        </w:tc>
        <w:tc>
          <w:tcPr>
            <w:tcW w:w="1701" w:type="dxa"/>
            <w:noWrap w:val="0"/>
            <w:vAlign w:val="center"/>
          </w:tcPr>
          <w:p w14:paraId="7FFFB45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100元～1000元/处</w:t>
            </w:r>
          </w:p>
        </w:tc>
      </w:tr>
      <w:tr w14:paraId="41AD3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6F9D984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w:t>
            </w:r>
          </w:p>
        </w:tc>
        <w:tc>
          <w:tcPr>
            <w:tcW w:w="1843" w:type="dxa"/>
            <w:noWrap w:val="0"/>
            <w:vAlign w:val="center"/>
          </w:tcPr>
          <w:p w14:paraId="76CD06E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手持电动工具配移动电箱</w:t>
            </w:r>
          </w:p>
        </w:tc>
        <w:tc>
          <w:tcPr>
            <w:tcW w:w="4678" w:type="dxa"/>
            <w:noWrap w:val="0"/>
            <w:vAlign w:val="center"/>
          </w:tcPr>
          <w:p w14:paraId="1047BA6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操作人员手持电动工具必须配置专用移动配电箱。</w:t>
            </w:r>
          </w:p>
        </w:tc>
        <w:tc>
          <w:tcPr>
            <w:tcW w:w="1701" w:type="dxa"/>
            <w:noWrap w:val="0"/>
            <w:vAlign w:val="center"/>
          </w:tcPr>
          <w:p w14:paraId="282F1AB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100元～1000元/处</w:t>
            </w:r>
          </w:p>
        </w:tc>
      </w:tr>
      <w:tr w14:paraId="24678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3107111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w:t>
            </w:r>
          </w:p>
        </w:tc>
        <w:tc>
          <w:tcPr>
            <w:tcW w:w="1843" w:type="dxa"/>
            <w:noWrap w:val="0"/>
            <w:vAlign w:val="center"/>
          </w:tcPr>
          <w:p w14:paraId="1ED9696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施工用电两级保护</w:t>
            </w:r>
          </w:p>
        </w:tc>
        <w:tc>
          <w:tcPr>
            <w:tcW w:w="4678" w:type="dxa"/>
            <w:noWrap w:val="0"/>
            <w:vAlign w:val="center"/>
          </w:tcPr>
          <w:p w14:paraId="10E1614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施工用电体系必须严格依照用电的三级配电、两级保护实施，分级管理。</w:t>
            </w:r>
          </w:p>
        </w:tc>
        <w:tc>
          <w:tcPr>
            <w:tcW w:w="1701" w:type="dxa"/>
            <w:noWrap w:val="0"/>
            <w:vAlign w:val="center"/>
          </w:tcPr>
          <w:p w14:paraId="5634490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200.00元～2000.00元/处</w:t>
            </w:r>
          </w:p>
        </w:tc>
      </w:tr>
      <w:tr w14:paraId="53EE2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675" w:type="dxa"/>
            <w:noWrap w:val="0"/>
            <w:vAlign w:val="center"/>
          </w:tcPr>
          <w:p w14:paraId="5F3C6D4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9</w:t>
            </w:r>
          </w:p>
        </w:tc>
        <w:tc>
          <w:tcPr>
            <w:tcW w:w="1843" w:type="dxa"/>
            <w:noWrap w:val="0"/>
            <w:vAlign w:val="center"/>
          </w:tcPr>
          <w:p w14:paraId="66872A8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施工机械一机一闸一漏电保护</w:t>
            </w:r>
          </w:p>
        </w:tc>
        <w:tc>
          <w:tcPr>
            <w:tcW w:w="4678" w:type="dxa"/>
            <w:noWrap w:val="0"/>
            <w:vAlign w:val="center"/>
          </w:tcPr>
          <w:p w14:paraId="0E02C76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所有施工机械如：塔吊、人货电梯、对焊机、电焊机等都必须设置专用配电箱，并配置隔离开关、漏电开关，漏电开关完好。所有用电设备、机具必须从开关箱接出，严禁从总配电箱和分配电箱接用电机具设备。</w:t>
            </w:r>
          </w:p>
        </w:tc>
        <w:tc>
          <w:tcPr>
            <w:tcW w:w="1701" w:type="dxa"/>
            <w:noWrap w:val="0"/>
            <w:vAlign w:val="center"/>
          </w:tcPr>
          <w:p w14:paraId="1A6DE9F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200～2000元/处</w:t>
            </w:r>
          </w:p>
        </w:tc>
      </w:tr>
      <w:tr w14:paraId="1AC7E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75" w:type="dxa"/>
            <w:noWrap w:val="0"/>
            <w:vAlign w:val="center"/>
          </w:tcPr>
          <w:p w14:paraId="2F82D7D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w:t>
            </w:r>
          </w:p>
        </w:tc>
        <w:tc>
          <w:tcPr>
            <w:tcW w:w="1843" w:type="dxa"/>
            <w:noWrap w:val="0"/>
            <w:vAlign w:val="center"/>
          </w:tcPr>
          <w:p w14:paraId="33E9AC3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安全电源系统</w:t>
            </w:r>
          </w:p>
        </w:tc>
        <w:tc>
          <w:tcPr>
            <w:tcW w:w="4678" w:type="dxa"/>
            <w:noWrap w:val="0"/>
            <w:vAlign w:val="center"/>
          </w:tcPr>
          <w:p w14:paraId="7A6B3B7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在地下室等潮湿危险环境必须使用安全供电系统。</w:t>
            </w:r>
          </w:p>
        </w:tc>
        <w:tc>
          <w:tcPr>
            <w:tcW w:w="1701" w:type="dxa"/>
            <w:noWrap w:val="0"/>
            <w:vAlign w:val="center"/>
          </w:tcPr>
          <w:p w14:paraId="6474AE7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500元～5000元</w:t>
            </w:r>
          </w:p>
        </w:tc>
      </w:tr>
      <w:tr w14:paraId="4300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35923EE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11</w:t>
            </w:r>
          </w:p>
        </w:tc>
        <w:tc>
          <w:tcPr>
            <w:tcW w:w="1843" w:type="dxa"/>
            <w:noWrap w:val="0"/>
            <w:vAlign w:val="center"/>
          </w:tcPr>
          <w:p w14:paraId="78A0F8B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焊机</w:t>
            </w:r>
          </w:p>
        </w:tc>
        <w:tc>
          <w:tcPr>
            <w:tcW w:w="4678" w:type="dxa"/>
            <w:noWrap w:val="0"/>
            <w:vAlign w:val="center"/>
          </w:tcPr>
          <w:p w14:paraId="7BBD6C5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焊机应使用专用漏电保护器。</w:t>
            </w:r>
          </w:p>
        </w:tc>
        <w:tc>
          <w:tcPr>
            <w:tcW w:w="1701" w:type="dxa"/>
            <w:noWrap w:val="0"/>
            <w:vAlign w:val="center"/>
          </w:tcPr>
          <w:p w14:paraId="0E85DF6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100～1000元元/处</w:t>
            </w:r>
          </w:p>
        </w:tc>
      </w:tr>
      <w:tr w14:paraId="123B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29E0D14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12</w:t>
            </w:r>
          </w:p>
        </w:tc>
        <w:tc>
          <w:tcPr>
            <w:tcW w:w="1843" w:type="dxa"/>
            <w:noWrap w:val="0"/>
            <w:vAlign w:val="center"/>
          </w:tcPr>
          <w:p w14:paraId="5106C04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二次接线头</w:t>
            </w:r>
          </w:p>
        </w:tc>
        <w:tc>
          <w:tcPr>
            <w:tcW w:w="4678" w:type="dxa"/>
            <w:noWrap w:val="0"/>
            <w:vAlign w:val="center"/>
          </w:tcPr>
          <w:p w14:paraId="0D0ED1D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二次接线必须规范，严禁裸露。</w:t>
            </w:r>
          </w:p>
        </w:tc>
        <w:tc>
          <w:tcPr>
            <w:tcW w:w="1701" w:type="dxa"/>
            <w:noWrap w:val="0"/>
            <w:vAlign w:val="center"/>
          </w:tcPr>
          <w:p w14:paraId="0AE8A1B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300～3000元元/处</w:t>
            </w:r>
          </w:p>
        </w:tc>
      </w:tr>
      <w:tr w14:paraId="2332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590E348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13</w:t>
            </w:r>
          </w:p>
        </w:tc>
        <w:tc>
          <w:tcPr>
            <w:tcW w:w="1843" w:type="dxa"/>
            <w:noWrap w:val="0"/>
            <w:vAlign w:val="center"/>
          </w:tcPr>
          <w:p w14:paraId="6D38B84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临电规范搭设</w:t>
            </w:r>
          </w:p>
        </w:tc>
        <w:tc>
          <w:tcPr>
            <w:tcW w:w="4678" w:type="dxa"/>
            <w:noWrap w:val="0"/>
            <w:vAlign w:val="center"/>
          </w:tcPr>
          <w:p w14:paraId="252D931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项目现场（含生活区）临时用电应规范搭设，严禁私拉乱接。</w:t>
            </w:r>
          </w:p>
        </w:tc>
        <w:tc>
          <w:tcPr>
            <w:tcW w:w="1701" w:type="dxa"/>
            <w:noWrap w:val="0"/>
            <w:vAlign w:val="center"/>
          </w:tcPr>
          <w:p w14:paraId="225B05E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100～1000元元/处</w:t>
            </w:r>
          </w:p>
        </w:tc>
      </w:tr>
      <w:tr w14:paraId="3377B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08CB62E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14</w:t>
            </w:r>
          </w:p>
        </w:tc>
        <w:tc>
          <w:tcPr>
            <w:tcW w:w="1843" w:type="dxa"/>
            <w:noWrap w:val="0"/>
            <w:vAlign w:val="center"/>
          </w:tcPr>
          <w:p w14:paraId="514E7DF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规范操作</w:t>
            </w:r>
          </w:p>
        </w:tc>
        <w:tc>
          <w:tcPr>
            <w:tcW w:w="4678" w:type="dxa"/>
            <w:noWrap w:val="0"/>
            <w:vAlign w:val="center"/>
          </w:tcPr>
          <w:p w14:paraId="4DA18B6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现场至少配备两名电工，并须持有效特操证上岗，按规程操作。严禁非电工擅自接电。</w:t>
            </w:r>
          </w:p>
        </w:tc>
        <w:tc>
          <w:tcPr>
            <w:tcW w:w="1701" w:type="dxa"/>
            <w:noWrap w:val="0"/>
            <w:vAlign w:val="center"/>
          </w:tcPr>
          <w:p w14:paraId="0D5AB66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200～2000元元/次</w:t>
            </w:r>
          </w:p>
        </w:tc>
      </w:tr>
      <w:tr w14:paraId="35D9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2EE84E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w:t>
            </w:r>
          </w:p>
        </w:tc>
        <w:tc>
          <w:tcPr>
            <w:tcW w:w="1843" w:type="dxa"/>
            <w:noWrap w:val="0"/>
            <w:vAlign w:val="center"/>
          </w:tcPr>
          <w:p w14:paraId="22B6AE2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w:t>
            </w:r>
          </w:p>
        </w:tc>
        <w:tc>
          <w:tcPr>
            <w:tcW w:w="4678" w:type="dxa"/>
            <w:noWrap w:val="0"/>
            <w:vAlign w:val="center"/>
          </w:tcPr>
          <w:p w14:paraId="20C69796">
            <w:pPr>
              <w:spacing w:line="420" w:lineRule="exact"/>
              <w:rPr>
                <w:rFonts w:hint="eastAsia" w:ascii="仿宋" w:hAnsi="仿宋" w:eastAsia="仿宋" w:cs="仿宋"/>
                <w:color w:val="auto"/>
                <w:sz w:val="24"/>
                <w:highlight w:val="none"/>
                <w:lang w:val="en-US" w:eastAsia="zh-CN"/>
              </w:rPr>
            </w:pPr>
          </w:p>
        </w:tc>
        <w:tc>
          <w:tcPr>
            <w:tcW w:w="1701" w:type="dxa"/>
            <w:noWrap w:val="0"/>
            <w:vAlign w:val="center"/>
          </w:tcPr>
          <w:p w14:paraId="72E79FC3">
            <w:pPr>
              <w:spacing w:line="420" w:lineRule="exact"/>
              <w:rPr>
                <w:rFonts w:hint="eastAsia" w:ascii="仿宋" w:hAnsi="仿宋" w:eastAsia="仿宋" w:cs="仿宋"/>
                <w:color w:val="auto"/>
                <w:sz w:val="24"/>
                <w:highlight w:val="none"/>
                <w:lang w:val="en-US" w:eastAsia="zh-CN"/>
              </w:rPr>
            </w:pPr>
          </w:p>
        </w:tc>
      </w:tr>
      <w:tr w14:paraId="646C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noWrap w:val="0"/>
            <w:vAlign w:val="center"/>
          </w:tcPr>
          <w:p w14:paraId="7B68688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noWrap w:val="0"/>
            <w:vAlign w:val="center"/>
          </w:tcPr>
          <w:p w14:paraId="5F11B3C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基坑支护施工方案</w:t>
            </w:r>
          </w:p>
        </w:tc>
        <w:tc>
          <w:tcPr>
            <w:tcW w:w="4678" w:type="dxa"/>
            <w:noWrap w:val="0"/>
            <w:vAlign w:val="center"/>
          </w:tcPr>
          <w:p w14:paraId="0CC89C4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基坑施工必须按经、批准的施工方案实施。</w:t>
            </w:r>
          </w:p>
        </w:tc>
        <w:tc>
          <w:tcPr>
            <w:tcW w:w="1701" w:type="dxa"/>
            <w:noWrap w:val="0"/>
            <w:vAlign w:val="center"/>
          </w:tcPr>
          <w:p w14:paraId="275FCFF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200元/处</w:t>
            </w:r>
          </w:p>
        </w:tc>
      </w:tr>
      <w:tr w14:paraId="1563E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noWrap w:val="0"/>
            <w:vAlign w:val="center"/>
          </w:tcPr>
          <w:p w14:paraId="4591A3A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73F175D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基坑周边排水</w:t>
            </w:r>
          </w:p>
        </w:tc>
        <w:tc>
          <w:tcPr>
            <w:tcW w:w="4678" w:type="dxa"/>
            <w:noWrap w:val="0"/>
            <w:vAlign w:val="center"/>
          </w:tcPr>
          <w:p w14:paraId="11C996C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基坑周边必须设置排水设施，并排水顺畅。</w:t>
            </w:r>
          </w:p>
        </w:tc>
        <w:tc>
          <w:tcPr>
            <w:tcW w:w="1701" w:type="dxa"/>
            <w:noWrap w:val="0"/>
            <w:vAlign w:val="center"/>
          </w:tcPr>
          <w:p w14:paraId="1E3DC69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200～2000元/处</w:t>
            </w:r>
          </w:p>
        </w:tc>
      </w:tr>
      <w:tr w14:paraId="1054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noWrap w:val="0"/>
            <w:vAlign w:val="center"/>
          </w:tcPr>
          <w:p w14:paraId="2DF3FED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36BC6C2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基坑周边防护</w:t>
            </w:r>
          </w:p>
        </w:tc>
        <w:tc>
          <w:tcPr>
            <w:tcW w:w="4678" w:type="dxa"/>
            <w:noWrap w:val="0"/>
            <w:vAlign w:val="center"/>
          </w:tcPr>
          <w:p w14:paraId="3EA7502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基坑开挖时，必须在边沿处设立1.2米高防护栏杆，用密目网封闭。</w:t>
            </w:r>
          </w:p>
        </w:tc>
        <w:tc>
          <w:tcPr>
            <w:tcW w:w="1701" w:type="dxa"/>
            <w:noWrap w:val="0"/>
            <w:vAlign w:val="center"/>
          </w:tcPr>
          <w:p w14:paraId="3BFC822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1000元～10000元/米</w:t>
            </w:r>
          </w:p>
        </w:tc>
      </w:tr>
      <w:tr w14:paraId="30B8F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noWrap w:val="0"/>
            <w:vAlign w:val="center"/>
          </w:tcPr>
          <w:p w14:paraId="07E1FB7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5433DA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基坑周边堆土</w:t>
            </w:r>
          </w:p>
        </w:tc>
        <w:tc>
          <w:tcPr>
            <w:tcW w:w="4678" w:type="dxa"/>
            <w:noWrap w:val="0"/>
            <w:vAlign w:val="center"/>
          </w:tcPr>
          <w:p w14:paraId="29CFC81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槽、坑、沟边l米以内不得堆土、堆料、停置机具设备。</w:t>
            </w:r>
          </w:p>
        </w:tc>
        <w:tc>
          <w:tcPr>
            <w:tcW w:w="1701" w:type="dxa"/>
            <w:noWrap w:val="0"/>
            <w:vAlign w:val="center"/>
          </w:tcPr>
          <w:p w14:paraId="461EA98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500元/处</w:t>
            </w:r>
          </w:p>
        </w:tc>
      </w:tr>
      <w:tr w14:paraId="65B58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168A3BB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w:t>
            </w:r>
          </w:p>
        </w:tc>
        <w:tc>
          <w:tcPr>
            <w:tcW w:w="1843" w:type="dxa"/>
            <w:noWrap w:val="0"/>
            <w:vAlign w:val="center"/>
          </w:tcPr>
          <w:p w14:paraId="7F1B6B7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外脚手架</w:t>
            </w:r>
          </w:p>
        </w:tc>
        <w:tc>
          <w:tcPr>
            <w:tcW w:w="4678" w:type="dxa"/>
            <w:noWrap w:val="0"/>
            <w:vAlign w:val="center"/>
          </w:tcPr>
          <w:p w14:paraId="4B88FC8C">
            <w:pPr>
              <w:spacing w:line="420" w:lineRule="exact"/>
              <w:rPr>
                <w:rFonts w:hint="eastAsia" w:ascii="仿宋" w:hAnsi="仿宋" w:eastAsia="仿宋" w:cs="仿宋"/>
                <w:color w:val="auto"/>
                <w:sz w:val="24"/>
                <w:highlight w:val="none"/>
                <w:lang w:val="en-US" w:eastAsia="zh-CN"/>
              </w:rPr>
            </w:pPr>
          </w:p>
        </w:tc>
        <w:tc>
          <w:tcPr>
            <w:tcW w:w="1701" w:type="dxa"/>
            <w:noWrap w:val="0"/>
            <w:vAlign w:val="center"/>
          </w:tcPr>
          <w:p w14:paraId="1E60B19E">
            <w:pPr>
              <w:spacing w:line="420" w:lineRule="exact"/>
              <w:rPr>
                <w:rFonts w:hint="eastAsia" w:ascii="仿宋" w:hAnsi="仿宋" w:eastAsia="仿宋" w:cs="仿宋"/>
                <w:color w:val="auto"/>
                <w:sz w:val="24"/>
                <w:highlight w:val="none"/>
                <w:lang w:val="en-US" w:eastAsia="zh-CN"/>
              </w:rPr>
            </w:pPr>
          </w:p>
        </w:tc>
      </w:tr>
      <w:tr w14:paraId="350F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33996B6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noWrap w:val="0"/>
            <w:vAlign w:val="center"/>
          </w:tcPr>
          <w:p w14:paraId="394C59B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脚手架的搭设</w:t>
            </w:r>
          </w:p>
        </w:tc>
        <w:tc>
          <w:tcPr>
            <w:tcW w:w="4678" w:type="dxa"/>
            <w:noWrap w:val="0"/>
            <w:vAlign w:val="center"/>
          </w:tcPr>
          <w:p w14:paraId="2C49BCC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脚手架必须按经审查通过的方案实施。</w:t>
            </w:r>
          </w:p>
        </w:tc>
        <w:tc>
          <w:tcPr>
            <w:tcW w:w="1701" w:type="dxa"/>
            <w:noWrap w:val="0"/>
            <w:vAlign w:val="center"/>
          </w:tcPr>
          <w:p w14:paraId="167E43C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10000元/处</w:t>
            </w:r>
          </w:p>
        </w:tc>
      </w:tr>
      <w:tr w14:paraId="0979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4B9BB50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17FDF83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脚手架实施过程的监控</w:t>
            </w:r>
          </w:p>
        </w:tc>
        <w:tc>
          <w:tcPr>
            <w:tcW w:w="4678" w:type="dxa"/>
            <w:noWrap w:val="0"/>
            <w:vAlign w:val="center"/>
          </w:tcPr>
          <w:p w14:paraId="2F1A2AB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脚手架实施过程中的所有组件必须符合经审查通过的方案。</w:t>
            </w:r>
          </w:p>
        </w:tc>
        <w:tc>
          <w:tcPr>
            <w:tcW w:w="1701" w:type="dxa"/>
            <w:noWrap w:val="0"/>
            <w:vAlign w:val="center"/>
          </w:tcPr>
          <w:p w14:paraId="4D9C58E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200元/处</w:t>
            </w:r>
          </w:p>
        </w:tc>
      </w:tr>
      <w:tr w14:paraId="0BEA9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0B3CB2B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6E86A12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外挑工字钢规格符合要求</w:t>
            </w:r>
          </w:p>
        </w:tc>
        <w:tc>
          <w:tcPr>
            <w:tcW w:w="4678" w:type="dxa"/>
            <w:noWrap w:val="0"/>
            <w:vAlign w:val="center"/>
          </w:tcPr>
          <w:p w14:paraId="55E5DFC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必须严格依照审批通过的外架方案实施。</w:t>
            </w:r>
          </w:p>
        </w:tc>
        <w:tc>
          <w:tcPr>
            <w:tcW w:w="1701" w:type="dxa"/>
            <w:noWrap w:val="0"/>
            <w:vAlign w:val="center"/>
          </w:tcPr>
          <w:p w14:paraId="02DABDF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1000元～10000元/处</w:t>
            </w:r>
          </w:p>
        </w:tc>
      </w:tr>
      <w:tr w14:paraId="1F33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349C634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1DA1FD3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外架卸料平台搭建</w:t>
            </w:r>
          </w:p>
        </w:tc>
        <w:tc>
          <w:tcPr>
            <w:tcW w:w="4678" w:type="dxa"/>
            <w:noWrap w:val="0"/>
            <w:vAlign w:val="center"/>
          </w:tcPr>
          <w:p w14:paraId="6544B4B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必须严格依照外架体系和卸料平台方案进行实施。</w:t>
            </w:r>
          </w:p>
        </w:tc>
        <w:tc>
          <w:tcPr>
            <w:tcW w:w="1701" w:type="dxa"/>
            <w:noWrap w:val="0"/>
            <w:vAlign w:val="center"/>
          </w:tcPr>
          <w:p w14:paraId="487F2A4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500元～5000元/处</w:t>
            </w:r>
          </w:p>
        </w:tc>
      </w:tr>
      <w:tr w14:paraId="719C9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562C776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w:t>
            </w:r>
          </w:p>
        </w:tc>
        <w:tc>
          <w:tcPr>
            <w:tcW w:w="1843" w:type="dxa"/>
            <w:noWrap w:val="0"/>
            <w:vAlign w:val="center"/>
          </w:tcPr>
          <w:p w14:paraId="6868996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模板支撑体系及外架卸料平台的验收</w:t>
            </w:r>
          </w:p>
        </w:tc>
        <w:tc>
          <w:tcPr>
            <w:tcW w:w="4678" w:type="dxa"/>
            <w:noWrap w:val="0"/>
            <w:vAlign w:val="center"/>
          </w:tcPr>
          <w:p w14:paraId="2069ABA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模板支撑体、必须经验收合格后才能进行砼浇筑。外架卸料平台必须经验收才能投入使用。</w:t>
            </w:r>
          </w:p>
        </w:tc>
        <w:tc>
          <w:tcPr>
            <w:tcW w:w="1701" w:type="dxa"/>
            <w:noWrap w:val="0"/>
            <w:vAlign w:val="center"/>
          </w:tcPr>
          <w:p w14:paraId="490FE7F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500元/次</w:t>
            </w:r>
          </w:p>
        </w:tc>
      </w:tr>
      <w:tr w14:paraId="72B8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675" w:type="dxa"/>
            <w:noWrap w:val="0"/>
            <w:vAlign w:val="center"/>
          </w:tcPr>
          <w:p w14:paraId="3E7C909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w:t>
            </w:r>
          </w:p>
        </w:tc>
        <w:tc>
          <w:tcPr>
            <w:tcW w:w="1843" w:type="dxa"/>
            <w:noWrap w:val="0"/>
            <w:vAlign w:val="center"/>
          </w:tcPr>
          <w:p w14:paraId="51357BD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外架堆放材料</w:t>
            </w:r>
          </w:p>
        </w:tc>
        <w:tc>
          <w:tcPr>
            <w:tcW w:w="4678" w:type="dxa"/>
            <w:noWrap w:val="0"/>
            <w:vAlign w:val="center"/>
          </w:tcPr>
          <w:p w14:paraId="38ABBAE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必须及时运转外架堆放的材料，严禁长时间堆放材料（1个工作日内），严禁超载，未固定材料必须当日从外架运走。</w:t>
            </w:r>
          </w:p>
        </w:tc>
        <w:tc>
          <w:tcPr>
            <w:tcW w:w="1701" w:type="dxa"/>
            <w:noWrap w:val="0"/>
            <w:vAlign w:val="center"/>
          </w:tcPr>
          <w:p w14:paraId="29461AF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500元/处</w:t>
            </w:r>
          </w:p>
        </w:tc>
      </w:tr>
      <w:tr w14:paraId="0EC3C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675" w:type="dxa"/>
            <w:noWrap w:val="0"/>
            <w:vAlign w:val="center"/>
          </w:tcPr>
          <w:p w14:paraId="1960247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w:t>
            </w:r>
          </w:p>
        </w:tc>
        <w:tc>
          <w:tcPr>
            <w:tcW w:w="1843" w:type="dxa"/>
            <w:noWrap w:val="0"/>
            <w:vAlign w:val="center"/>
          </w:tcPr>
          <w:p w14:paraId="2D5642A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防护棚</w:t>
            </w:r>
          </w:p>
        </w:tc>
        <w:tc>
          <w:tcPr>
            <w:tcW w:w="4678" w:type="dxa"/>
            <w:noWrap w:val="0"/>
            <w:vAlign w:val="center"/>
          </w:tcPr>
          <w:p w14:paraId="4100625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高层建筑每十五层必须增设挑出外架4米的双层硬防护架，8~14层的建筑必须设置一道。</w:t>
            </w:r>
          </w:p>
        </w:tc>
        <w:tc>
          <w:tcPr>
            <w:tcW w:w="1701" w:type="dxa"/>
            <w:noWrap w:val="0"/>
            <w:vAlign w:val="center"/>
          </w:tcPr>
          <w:p w14:paraId="03A7854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1000元～10000元/处</w:t>
            </w:r>
          </w:p>
        </w:tc>
      </w:tr>
      <w:tr w14:paraId="67BE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7FD62D1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五</w:t>
            </w:r>
          </w:p>
        </w:tc>
        <w:tc>
          <w:tcPr>
            <w:tcW w:w="1843" w:type="dxa"/>
            <w:noWrap w:val="0"/>
            <w:vAlign w:val="center"/>
          </w:tcPr>
          <w:p w14:paraId="5EA060C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安全防护</w:t>
            </w:r>
          </w:p>
        </w:tc>
        <w:tc>
          <w:tcPr>
            <w:tcW w:w="4678" w:type="dxa"/>
            <w:noWrap w:val="0"/>
            <w:vAlign w:val="center"/>
          </w:tcPr>
          <w:p w14:paraId="4603BE75">
            <w:pPr>
              <w:spacing w:line="420" w:lineRule="exact"/>
              <w:rPr>
                <w:rFonts w:hint="eastAsia" w:ascii="仿宋" w:hAnsi="仿宋" w:eastAsia="仿宋" w:cs="仿宋"/>
                <w:color w:val="auto"/>
                <w:sz w:val="24"/>
                <w:highlight w:val="none"/>
                <w:lang w:val="en-US" w:eastAsia="zh-CN"/>
              </w:rPr>
            </w:pPr>
          </w:p>
        </w:tc>
        <w:tc>
          <w:tcPr>
            <w:tcW w:w="1701" w:type="dxa"/>
            <w:noWrap w:val="0"/>
            <w:vAlign w:val="center"/>
          </w:tcPr>
          <w:p w14:paraId="0FE6EA04">
            <w:pPr>
              <w:spacing w:line="420" w:lineRule="exact"/>
              <w:rPr>
                <w:rFonts w:hint="eastAsia" w:ascii="仿宋" w:hAnsi="仿宋" w:eastAsia="仿宋" w:cs="仿宋"/>
                <w:color w:val="auto"/>
                <w:sz w:val="24"/>
                <w:highlight w:val="none"/>
                <w:lang w:val="en-US" w:eastAsia="zh-CN"/>
              </w:rPr>
            </w:pPr>
          </w:p>
        </w:tc>
      </w:tr>
      <w:tr w14:paraId="60AC5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675" w:type="dxa"/>
            <w:noWrap w:val="0"/>
            <w:vAlign w:val="center"/>
          </w:tcPr>
          <w:p w14:paraId="12161B2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noWrap w:val="0"/>
            <w:vAlign w:val="center"/>
          </w:tcPr>
          <w:p w14:paraId="32F6F0C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脚手架使用前需经验收</w:t>
            </w:r>
          </w:p>
        </w:tc>
        <w:tc>
          <w:tcPr>
            <w:tcW w:w="4678" w:type="dxa"/>
            <w:noWrap w:val="0"/>
            <w:vAlign w:val="center"/>
          </w:tcPr>
          <w:p w14:paraId="3B05CCA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脚手架有验收合格记录和标示，验收合格标示必须挂在搭设区间上，标明荷载数据、验收责任人、联系方式。</w:t>
            </w:r>
          </w:p>
        </w:tc>
        <w:tc>
          <w:tcPr>
            <w:tcW w:w="1701" w:type="dxa"/>
            <w:noWrap w:val="0"/>
            <w:vAlign w:val="center"/>
          </w:tcPr>
          <w:p w14:paraId="4512A33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500元/处</w:t>
            </w:r>
          </w:p>
        </w:tc>
      </w:tr>
      <w:tr w14:paraId="5804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343036B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3358E9B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脚手架安全网不低于施工面</w:t>
            </w:r>
          </w:p>
        </w:tc>
        <w:tc>
          <w:tcPr>
            <w:tcW w:w="4678" w:type="dxa"/>
            <w:noWrap w:val="0"/>
            <w:vAlign w:val="center"/>
          </w:tcPr>
          <w:p w14:paraId="1CA38A1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外架脚手架必须高于施工作业面1.2米。</w:t>
            </w:r>
          </w:p>
        </w:tc>
        <w:tc>
          <w:tcPr>
            <w:tcW w:w="1701" w:type="dxa"/>
            <w:noWrap w:val="0"/>
            <w:vAlign w:val="center"/>
          </w:tcPr>
          <w:p w14:paraId="0C5955F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200元～2000元/处</w:t>
            </w:r>
          </w:p>
        </w:tc>
      </w:tr>
      <w:tr w14:paraId="415D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1CB9265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442B65B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脚手架铺脚手板</w:t>
            </w:r>
          </w:p>
        </w:tc>
        <w:tc>
          <w:tcPr>
            <w:tcW w:w="4678" w:type="dxa"/>
            <w:noWrap w:val="0"/>
            <w:vAlign w:val="center"/>
          </w:tcPr>
          <w:p w14:paraId="1A7AB97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外墙作业区域必须满铺脚手扳。</w:t>
            </w:r>
          </w:p>
        </w:tc>
        <w:tc>
          <w:tcPr>
            <w:tcW w:w="1701" w:type="dxa"/>
            <w:noWrap w:val="0"/>
            <w:vAlign w:val="center"/>
          </w:tcPr>
          <w:p w14:paraId="7E3726E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500元～5000元/处</w:t>
            </w:r>
          </w:p>
        </w:tc>
      </w:tr>
      <w:tr w14:paraId="790A0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04C0576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4C0A263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密目网张挂严密</w:t>
            </w:r>
          </w:p>
        </w:tc>
        <w:tc>
          <w:tcPr>
            <w:tcW w:w="4678" w:type="dxa"/>
            <w:noWrap w:val="0"/>
            <w:vAlign w:val="center"/>
          </w:tcPr>
          <w:p w14:paraId="565591C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外架密目网必须张挂严密牢靠。</w:t>
            </w:r>
          </w:p>
        </w:tc>
        <w:tc>
          <w:tcPr>
            <w:tcW w:w="1701" w:type="dxa"/>
            <w:noWrap w:val="0"/>
            <w:vAlign w:val="center"/>
          </w:tcPr>
          <w:p w14:paraId="170F083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5699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564FE71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w:t>
            </w:r>
          </w:p>
        </w:tc>
        <w:tc>
          <w:tcPr>
            <w:tcW w:w="1843" w:type="dxa"/>
            <w:noWrap w:val="0"/>
            <w:vAlign w:val="center"/>
          </w:tcPr>
          <w:p w14:paraId="027FD49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满堂架与外架相连</w:t>
            </w:r>
          </w:p>
        </w:tc>
        <w:tc>
          <w:tcPr>
            <w:tcW w:w="4678" w:type="dxa"/>
            <w:noWrap w:val="0"/>
            <w:vAlign w:val="center"/>
          </w:tcPr>
          <w:p w14:paraId="648AC3E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内架体系与外架体系严禁相连。</w:t>
            </w:r>
          </w:p>
        </w:tc>
        <w:tc>
          <w:tcPr>
            <w:tcW w:w="1701" w:type="dxa"/>
            <w:noWrap w:val="0"/>
            <w:vAlign w:val="center"/>
          </w:tcPr>
          <w:p w14:paraId="17DAE21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100元/处</w:t>
            </w:r>
          </w:p>
        </w:tc>
      </w:tr>
      <w:tr w14:paraId="2C91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1C04CCB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w:t>
            </w:r>
          </w:p>
        </w:tc>
        <w:tc>
          <w:tcPr>
            <w:tcW w:w="1843" w:type="dxa"/>
            <w:noWrap w:val="0"/>
            <w:vAlign w:val="center"/>
          </w:tcPr>
          <w:p w14:paraId="2259DEE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外架定期巡检记录</w:t>
            </w:r>
          </w:p>
        </w:tc>
        <w:tc>
          <w:tcPr>
            <w:tcW w:w="4678" w:type="dxa"/>
            <w:noWrap w:val="0"/>
            <w:vAlign w:val="center"/>
          </w:tcPr>
          <w:p w14:paraId="1B3DF7C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必须建立外架的定期巡检记录和维护记录。</w:t>
            </w:r>
          </w:p>
        </w:tc>
        <w:tc>
          <w:tcPr>
            <w:tcW w:w="1701" w:type="dxa"/>
            <w:noWrap w:val="0"/>
            <w:vAlign w:val="center"/>
          </w:tcPr>
          <w:p w14:paraId="0933313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100元/次</w:t>
            </w:r>
          </w:p>
        </w:tc>
      </w:tr>
      <w:tr w14:paraId="5562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160CA5B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w:t>
            </w:r>
          </w:p>
        </w:tc>
        <w:tc>
          <w:tcPr>
            <w:tcW w:w="1843" w:type="dxa"/>
            <w:noWrap w:val="0"/>
            <w:vAlign w:val="center"/>
          </w:tcPr>
          <w:p w14:paraId="1651993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混凝土泵管支架与外架相连</w:t>
            </w:r>
          </w:p>
        </w:tc>
        <w:tc>
          <w:tcPr>
            <w:tcW w:w="4678" w:type="dxa"/>
            <w:noWrap w:val="0"/>
            <w:vAlign w:val="center"/>
          </w:tcPr>
          <w:p w14:paraId="076FDD1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严禁混凝土泵管支架与外架相连。</w:t>
            </w:r>
          </w:p>
        </w:tc>
        <w:tc>
          <w:tcPr>
            <w:tcW w:w="1701" w:type="dxa"/>
            <w:noWrap w:val="0"/>
            <w:vAlign w:val="center"/>
          </w:tcPr>
          <w:p w14:paraId="0CDE28B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1000元/处</w:t>
            </w:r>
          </w:p>
        </w:tc>
      </w:tr>
      <w:tr w14:paraId="744B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675" w:type="dxa"/>
            <w:noWrap w:val="0"/>
            <w:vAlign w:val="center"/>
          </w:tcPr>
          <w:p w14:paraId="650DE25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9</w:t>
            </w:r>
          </w:p>
        </w:tc>
        <w:tc>
          <w:tcPr>
            <w:tcW w:w="1843" w:type="dxa"/>
            <w:noWrap w:val="0"/>
            <w:vAlign w:val="center"/>
          </w:tcPr>
          <w:p w14:paraId="5B88197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施工安全通道</w:t>
            </w:r>
          </w:p>
        </w:tc>
        <w:tc>
          <w:tcPr>
            <w:tcW w:w="4678" w:type="dxa"/>
            <w:noWrap w:val="0"/>
            <w:vAlign w:val="center"/>
          </w:tcPr>
          <w:p w14:paraId="64841E7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施工安全通道要求标示醒目、双层硬防护，高层外挑从外墙处至少6米。</w:t>
            </w:r>
          </w:p>
        </w:tc>
        <w:tc>
          <w:tcPr>
            <w:tcW w:w="1701" w:type="dxa"/>
            <w:noWrap w:val="0"/>
            <w:vAlign w:val="center"/>
          </w:tcPr>
          <w:p w14:paraId="7AF61F5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200～2000元元/处</w:t>
            </w:r>
          </w:p>
        </w:tc>
      </w:tr>
      <w:tr w14:paraId="4CA5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noWrap w:val="0"/>
            <w:vAlign w:val="center"/>
          </w:tcPr>
          <w:p w14:paraId="103AE7D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w:t>
            </w:r>
          </w:p>
        </w:tc>
        <w:tc>
          <w:tcPr>
            <w:tcW w:w="1843" w:type="dxa"/>
            <w:noWrap w:val="0"/>
            <w:vAlign w:val="center"/>
          </w:tcPr>
          <w:p w14:paraId="770C83C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临边、洞口</w:t>
            </w:r>
          </w:p>
        </w:tc>
        <w:tc>
          <w:tcPr>
            <w:tcW w:w="4678" w:type="dxa"/>
            <w:noWrap w:val="0"/>
            <w:vAlign w:val="center"/>
          </w:tcPr>
          <w:p w14:paraId="07F0D20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临边、洞口防护必须按要求防护。</w:t>
            </w:r>
          </w:p>
        </w:tc>
        <w:tc>
          <w:tcPr>
            <w:tcW w:w="1701" w:type="dxa"/>
            <w:noWrap w:val="0"/>
            <w:vAlign w:val="center"/>
          </w:tcPr>
          <w:p w14:paraId="7A3579D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洞口：500元～5000元/处</w:t>
            </w:r>
          </w:p>
          <w:p w14:paraId="1EB1D85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临边：1000元～10000元/处</w:t>
            </w:r>
          </w:p>
        </w:tc>
      </w:tr>
      <w:tr w14:paraId="2181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675" w:type="dxa"/>
            <w:noWrap w:val="0"/>
            <w:vAlign w:val="center"/>
          </w:tcPr>
          <w:p w14:paraId="5C538B3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11</w:t>
            </w:r>
          </w:p>
        </w:tc>
        <w:tc>
          <w:tcPr>
            <w:tcW w:w="1843" w:type="dxa"/>
            <w:noWrap w:val="0"/>
            <w:vAlign w:val="center"/>
          </w:tcPr>
          <w:p w14:paraId="2D86A6B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各类加工区</w:t>
            </w:r>
          </w:p>
        </w:tc>
        <w:tc>
          <w:tcPr>
            <w:tcW w:w="4678" w:type="dxa"/>
            <w:noWrap w:val="0"/>
            <w:vAlign w:val="center"/>
          </w:tcPr>
          <w:p w14:paraId="79F3F0E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施工现场的各类加工区必须配置灭火器、操作规程、加工区标示等，位于总平上的加工区必须设置双层硬防护。</w:t>
            </w:r>
          </w:p>
        </w:tc>
        <w:tc>
          <w:tcPr>
            <w:tcW w:w="1701" w:type="dxa"/>
            <w:noWrap w:val="0"/>
            <w:vAlign w:val="center"/>
          </w:tcPr>
          <w:p w14:paraId="77C14AB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200元/～2000元处</w:t>
            </w:r>
          </w:p>
        </w:tc>
      </w:tr>
      <w:tr w14:paraId="7B4D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75" w:type="dxa"/>
            <w:noWrap w:val="0"/>
            <w:vAlign w:val="center"/>
          </w:tcPr>
          <w:p w14:paraId="5794D76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12</w:t>
            </w:r>
          </w:p>
        </w:tc>
        <w:tc>
          <w:tcPr>
            <w:tcW w:w="1843" w:type="dxa"/>
            <w:noWrap w:val="0"/>
            <w:vAlign w:val="center"/>
          </w:tcPr>
          <w:p w14:paraId="43BE829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气瓶</w:t>
            </w:r>
          </w:p>
        </w:tc>
        <w:tc>
          <w:tcPr>
            <w:tcW w:w="4678" w:type="dxa"/>
            <w:noWrap w:val="0"/>
            <w:vAlign w:val="center"/>
          </w:tcPr>
          <w:p w14:paraId="62F77EE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氧气、乙炔存放、运输、使用时的安全距离必须符合规范。</w:t>
            </w:r>
          </w:p>
        </w:tc>
        <w:tc>
          <w:tcPr>
            <w:tcW w:w="1701" w:type="dxa"/>
            <w:noWrap w:val="0"/>
            <w:vAlign w:val="center"/>
          </w:tcPr>
          <w:p w14:paraId="3F35826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200元～2000元/次</w:t>
            </w:r>
          </w:p>
        </w:tc>
      </w:tr>
      <w:tr w14:paraId="2345E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2068E8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六</w:t>
            </w:r>
          </w:p>
        </w:tc>
        <w:tc>
          <w:tcPr>
            <w:tcW w:w="1843" w:type="dxa"/>
            <w:noWrap w:val="0"/>
            <w:vAlign w:val="center"/>
          </w:tcPr>
          <w:p w14:paraId="688605B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不安全行为</w:t>
            </w:r>
          </w:p>
        </w:tc>
        <w:tc>
          <w:tcPr>
            <w:tcW w:w="4678" w:type="dxa"/>
            <w:noWrap w:val="0"/>
            <w:vAlign w:val="center"/>
          </w:tcPr>
          <w:p w14:paraId="0AA219DB">
            <w:pPr>
              <w:spacing w:line="420" w:lineRule="exact"/>
              <w:rPr>
                <w:rFonts w:hint="eastAsia" w:ascii="仿宋" w:hAnsi="仿宋" w:eastAsia="仿宋" w:cs="仿宋"/>
                <w:color w:val="auto"/>
                <w:sz w:val="24"/>
                <w:highlight w:val="none"/>
                <w:lang w:val="en-US" w:eastAsia="zh-CN"/>
              </w:rPr>
            </w:pPr>
          </w:p>
        </w:tc>
        <w:tc>
          <w:tcPr>
            <w:tcW w:w="1701" w:type="dxa"/>
            <w:noWrap w:val="0"/>
            <w:vAlign w:val="center"/>
          </w:tcPr>
          <w:p w14:paraId="0CC023A6">
            <w:pPr>
              <w:spacing w:line="420" w:lineRule="exact"/>
              <w:rPr>
                <w:rFonts w:hint="eastAsia" w:ascii="仿宋" w:hAnsi="仿宋" w:eastAsia="仿宋" w:cs="仿宋"/>
                <w:color w:val="auto"/>
                <w:sz w:val="24"/>
                <w:highlight w:val="none"/>
                <w:lang w:val="en-US" w:eastAsia="zh-CN"/>
              </w:rPr>
            </w:pPr>
          </w:p>
        </w:tc>
      </w:tr>
      <w:tr w14:paraId="1D7E2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675" w:type="dxa"/>
            <w:vMerge w:val="restart"/>
            <w:noWrap w:val="0"/>
            <w:vAlign w:val="center"/>
          </w:tcPr>
          <w:p w14:paraId="7A531BF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w:t>
            </w:r>
          </w:p>
        </w:tc>
        <w:tc>
          <w:tcPr>
            <w:tcW w:w="1843" w:type="dxa"/>
            <w:vMerge w:val="restart"/>
            <w:noWrap w:val="0"/>
            <w:vAlign w:val="center"/>
          </w:tcPr>
          <w:p w14:paraId="39EE5A1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三宝使用</w:t>
            </w:r>
          </w:p>
        </w:tc>
        <w:tc>
          <w:tcPr>
            <w:tcW w:w="4678" w:type="dxa"/>
            <w:noWrap w:val="0"/>
            <w:vAlign w:val="center"/>
          </w:tcPr>
          <w:p w14:paraId="6FFA6D1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分包进场15日内必须向甲方报送安全帽、安全带、安全网的品牌及质量安全检测报告。</w:t>
            </w:r>
          </w:p>
        </w:tc>
        <w:tc>
          <w:tcPr>
            <w:tcW w:w="1701" w:type="dxa"/>
            <w:noWrap w:val="0"/>
            <w:vAlign w:val="center"/>
          </w:tcPr>
          <w:p w14:paraId="598CD9E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w:t>
            </w:r>
          </w:p>
        </w:tc>
      </w:tr>
      <w:tr w14:paraId="1C33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vMerge w:val="continue"/>
            <w:noWrap w:val="0"/>
            <w:vAlign w:val="center"/>
          </w:tcPr>
          <w:p w14:paraId="41AAA9A3">
            <w:pPr>
              <w:spacing w:line="420" w:lineRule="exact"/>
              <w:rPr>
                <w:rFonts w:hint="eastAsia" w:ascii="仿宋" w:hAnsi="仿宋" w:eastAsia="仿宋" w:cs="仿宋"/>
                <w:color w:val="auto"/>
                <w:sz w:val="24"/>
                <w:highlight w:val="none"/>
                <w:lang w:val="en-US" w:eastAsia="zh-CN"/>
              </w:rPr>
            </w:pPr>
          </w:p>
        </w:tc>
        <w:tc>
          <w:tcPr>
            <w:tcW w:w="1843" w:type="dxa"/>
            <w:vMerge w:val="continue"/>
            <w:noWrap w:val="0"/>
            <w:vAlign w:val="center"/>
          </w:tcPr>
          <w:p w14:paraId="60774223">
            <w:pPr>
              <w:spacing w:line="420" w:lineRule="exact"/>
              <w:rPr>
                <w:rFonts w:hint="eastAsia" w:ascii="仿宋" w:hAnsi="仿宋" w:eastAsia="仿宋" w:cs="仿宋"/>
                <w:color w:val="auto"/>
                <w:sz w:val="24"/>
                <w:highlight w:val="none"/>
                <w:lang w:val="en-US" w:eastAsia="zh-CN"/>
              </w:rPr>
            </w:pPr>
          </w:p>
        </w:tc>
        <w:tc>
          <w:tcPr>
            <w:tcW w:w="4678" w:type="dxa"/>
            <w:tcBorders>
              <w:bottom w:val="nil"/>
            </w:tcBorders>
            <w:noWrap w:val="0"/>
            <w:vAlign w:val="center"/>
          </w:tcPr>
          <w:p w14:paraId="1194B99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现场人员必须佩带、使用经审查合格的安全帽、安全带、安全网。</w:t>
            </w:r>
          </w:p>
        </w:tc>
        <w:tc>
          <w:tcPr>
            <w:tcW w:w="1701" w:type="dxa"/>
            <w:noWrap w:val="0"/>
            <w:vAlign w:val="center"/>
          </w:tcPr>
          <w:p w14:paraId="2B75FB7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作业人员：50.00元/人次</w:t>
            </w:r>
          </w:p>
          <w:p w14:paraId="02F8C7F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管理人员200元/人次</w:t>
            </w:r>
          </w:p>
        </w:tc>
      </w:tr>
      <w:tr w14:paraId="248D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vMerge w:val="continue"/>
            <w:noWrap w:val="0"/>
            <w:vAlign w:val="center"/>
          </w:tcPr>
          <w:p w14:paraId="5D38AA11">
            <w:pPr>
              <w:spacing w:line="420" w:lineRule="exact"/>
              <w:rPr>
                <w:rFonts w:hint="eastAsia" w:ascii="仿宋" w:hAnsi="仿宋" w:eastAsia="仿宋" w:cs="仿宋"/>
                <w:color w:val="auto"/>
                <w:sz w:val="24"/>
                <w:highlight w:val="none"/>
                <w:lang w:val="en-US" w:eastAsia="zh-CN"/>
              </w:rPr>
            </w:pPr>
          </w:p>
        </w:tc>
        <w:tc>
          <w:tcPr>
            <w:tcW w:w="1843" w:type="dxa"/>
            <w:vMerge w:val="continue"/>
            <w:noWrap w:val="0"/>
            <w:vAlign w:val="center"/>
          </w:tcPr>
          <w:p w14:paraId="5BFDA96B">
            <w:pPr>
              <w:spacing w:line="420" w:lineRule="exact"/>
              <w:rPr>
                <w:rFonts w:hint="eastAsia" w:ascii="仿宋" w:hAnsi="仿宋" w:eastAsia="仿宋" w:cs="仿宋"/>
                <w:color w:val="auto"/>
                <w:sz w:val="24"/>
                <w:highlight w:val="none"/>
                <w:lang w:val="en-US" w:eastAsia="zh-CN"/>
              </w:rPr>
            </w:pPr>
          </w:p>
        </w:tc>
        <w:tc>
          <w:tcPr>
            <w:tcW w:w="4678" w:type="dxa"/>
            <w:tcBorders>
              <w:top w:val="nil"/>
            </w:tcBorders>
            <w:noWrap w:val="0"/>
            <w:vAlign w:val="center"/>
          </w:tcPr>
          <w:p w14:paraId="3D927D5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进入施工场地必须戴安全帽，高空作业必须佩戴安全带并正确使用，按照规定正确设置安全网。高处作业使用工具无防坠措施</w:t>
            </w:r>
          </w:p>
        </w:tc>
        <w:tc>
          <w:tcPr>
            <w:tcW w:w="1701" w:type="dxa"/>
            <w:noWrap w:val="0"/>
            <w:vAlign w:val="center"/>
          </w:tcPr>
          <w:p w14:paraId="5E9F7F0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作业人员：50.00元/人次</w:t>
            </w:r>
          </w:p>
          <w:p w14:paraId="20D6184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管理人员：200元/人次</w:t>
            </w:r>
          </w:p>
        </w:tc>
      </w:tr>
      <w:tr w14:paraId="362C1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75" w:type="dxa"/>
            <w:noWrap w:val="0"/>
            <w:vAlign w:val="center"/>
          </w:tcPr>
          <w:p w14:paraId="1DA203F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w:t>
            </w:r>
          </w:p>
        </w:tc>
        <w:tc>
          <w:tcPr>
            <w:tcW w:w="1843" w:type="dxa"/>
            <w:noWrap w:val="0"/>
            <w:vAlign w:val="center"/>
          </w:tcPr>
          <w:p w14:paraId="3B429A2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酒后上班作业</w:t>
            </w:r>
          </w:p>
        </w:tc>
        <w:tc>
          <w:tcPr>
            <w:tcW w:w="4678" w:type="dxa"/>
            <w:noWrap w:val="0"/>
            <w:vAlign w:val="center"/>
          </w:tcPr>
          <w:p w14:paraId="5DFA4A1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施工现场严禁酒后作业。</w:t>
            </w:r>
          </w:p>
        </w:tc>
        <w:tc>
          <w:tcPr>
            <w:tcW w:w="1701" w:type="dxa"/>
            <w:noWrap w:val="0"/>
            <w:vAlign w:val="center"/>
          </w:tcPr>
          <w:p w14:paraId="7296E5B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作业人员：100元/人次</w:t>
            </w:r>
          </w:p>
          <w:p w14:paraId="7A10CE8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管理人员：200元/人次</w:t>
            </w:r>
          </w:p>
        </w:tc>
      </w:tr>
      <w:tr w14:paraId="1CE6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73CF2B8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w:t>
            </w:r>
          </w:p>
        </w:tc>
        <w:tc>
          <w:tcPr>
            <w:tcW w:w="1843" w:type="dxa"/>
            <w:noWrap w:val="0"/>
            <w:vAlign w:val="center"/>
          </w:tcPr>
          <w:p w14:paraId="436A007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打架斗殴</w:t>
            </w:r>
          </w:p>
        </w:tc>
        <w:tc>
          <w:tcPr>
            <w:tcW w:w="4678" w:type="dxa"/>
            <w:noWrap w:val="0"/>
            <w:vAlign w:val="center"/>
          </w:tcPr>
          <w:p w14:paraId="7E66474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施工现场严禁打架斗殴。</w:t>
            </w:r>
          </w:p>
        </w:tc>
        <w:tc>
          <w:tcPr>
            <w:tcW w:w="1701" w:type="dxa"/>
            <w:noWrap w:val="0"/>
            <w:vAlign w:val="center"/>
          </w:tcPr>
          <w:p w14:paraId="4CE719D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100元/人次</w:t>
            </w:r>
          </w:p>
        </w:tc>
      </w:tr>
      <w:tr w14:paraId="3D1B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060EDA9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w:t>
            </w:r>
          </w:p>
        </w:tc>
        <w:tc>
          <w:tcPr>
            <w:tcW w:w="1843" w:type="dxa"/>
            <w:noWrap w:val="0"/>
            <w:vAlign w:val="center"/>
          </w:tcPr>
          <w:p w14:paraId="21A887D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持证上岗</w:t>
            </w:r>
          </w:p>
        </w:tc>
        <w:tc>
          <w:tcPr>
            <w:tcW w:w="4678" w:type="dxa"/>
            <w:noWrap w:val="0"/>
            <w:vAlign w:val="center"/>
          </w:tcPr>
          <w:p w14:paraId="4377212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施工现场特殊工种要求持证上岗。严禁无证上岗或串岗作业。</w:t>
            </w:r>
          </w:p>
        </w:tc>
        <w:tc>
          <w:tcPr>
            <w:tcW w:w="1701" w:type="dxa"/>
            <w:noWrap w:val="0"/>
            <w:vAlign w:val="center"/>
          </w:tcPr>
          <w:p w14:paraId="2803D4B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500元/人</w:t>
            </w:r>
          </w:p>
        </w:tc>
      </w:tr>
      <w:tr w14:paraId="6F897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7177B73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w:t>
            </w:r>
          </w:p>
        </w:tc>
        <w:tc>
          <w:tcPr>
            <w:tcW w:w="1843" w:type="dxa"/>
            <w:noWrap w:val="0"/>
            <w:vAlign w:val="center"/>
          </w:tcPr>
          <w:p w14:paraId="763ECE3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高空抛物</w:t>
            </w:r>
          </w:p>
        </w:tc>
        <w:tc>
          <w:tcPr>
            <w:tcW w:w="4678" w:type="dxa"/>
            <w:noWrap w:val="0"/>
            <w:vAlign w:val="center"/>
          </w:tcPr>
          <w:p w14:paraId="5AFDD99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施工现场严禁在高空抛、扔材料和物件。</w:t>
            </w:r>
          </w:p>
        </w:tc>
        <w:tc>
          <w:tcPr>
            <w:tcW w:w="1701" w:type="dxa"/>
            <w:noWrap w:val="0"/>
            <w:vAlign w:val="center"/>
          </w:tcPr>
          <w:p w14:paraId="654D921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200元/次</w:t>
            </w:r>
          </w:p>
        </w:tc>
      </w:tr>
      <w:tr w14:paraId="3CE2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231A214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w:t>
            </w:r>
          </w:p>
        </w:tc>
        <w:tc>
          <w:tcPr>
            <w:tcW w:w="1843" w:type="dxa"/>
            <w:noWrap w:val="0"/>
            <w:vAlign w:val="center"/>
          </w:tcPr>
          <w:p w14:paraId="0F7397C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焊工作业时配戴绝缘手套、绝缘鞋</w:t>
            </w:r>
          </w:p>
        </w:tc>
        <w:tc>
          <w:tcPr>
            <w:tcW w:w="4678" w:type="dxa"/>
            <w:noWrap w:val="0"/>
            <w:vAlign w:val="center"/>
          </w:tcPr>
          <w:p w14:paraId="1B8732E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焊工作业时必须佩戴绝缘手套、绝缘鞋。</w:t>
            </w:r>
          </w:p>
        </w:tc>
        <w:tc>
          <w:tcPr>
            <w:tcW w:w="1701" w:type="dxa"/>
            <w:noWrap w:val="0"/>
            <w:vAlign w:val="center"/>
          </w:tcPr>
          <w:p w14:paraId="0195B4B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100元/人次</w:t>
            </w:r>
          </w:p>
        </w:tc>
      </w:tr>
      <w:tr w14:paraId="59887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noWrap w:val="0"/>
            <w:vAlign w:val="center"/>
          </w:tcPr>
          <w:p w14:paraId="562A491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w:t>
            </w:r>
          </w:p>
        </w:tc>
        <w:tc>
          <w:tcPr>
            <w:tcW w:w="1843" w:type="dxa"/>
            <w:noWrap w:val="0"/>
            <w:vAlign w:val="center"/>
          </w:tcPr>
          <w:p w14:paraId="308167C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穿戴不规范服装进入施工现场</w:t>
            </w:r>
          </w:p>
        </w:tc>
        <w:tc>
          <w:tcPr>
            <w:tcW w:w="4678" w:type="dxa"/>
            <w:noWrap w:val="0"/>
            <w:vAlign w:val="center"/>
          </w:tcPr>
          <w:p w14:paraId="77D0C02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穿高跟鞋、拖鞋等不得进入施工现场</w:t>
            </w:r>
          </w:p>
        </w:tc>
        <w:tc>
          <w:tcPr>
            <w:tcW w:w="1701" w:type="dxa"/>
            <w:noWrap w:val="0"/>
            <w:vAlign w:val="center"/>
          </w:tcPr>
          <w:p w14:paraId="1862ECA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50.00元/次</w:t>
            </w:r>
          </w:p>
        </w:tc>
      </w:tr>
      <w:tr w14:paraId="0C5B8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restart"/>
            <w:noWrap w:val="0"/>
            <w:vAlign w:val="center"/>
          </w:tcPr>
          <w:p w14:paraId="2097242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w:t>
            </w:r>
          </w:p>
        </w:tc>
        <w:tc>
          <w:tcPr>
            <w:tcW w:w="1843" w:type="dxa"/>
            <w:vMerge w:val="restart"/>
            <w:noWrap w:val="0"/>
            <w:vAlign w:val="center"/>
          </w:tcPr>
          <w:p w14:paraId="71B4129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行为规范</w:t>
            </w:r>
          </w:p>
        </w:tc>
        <w:tc>
          <w:tcPr>
            <w:tcW w:w="4678" w:type="dxa"/>
            <w:noWrap w:val="0"/>
            <w:vAlign w:val="center"/>
          </w:tcPr>
          <w:p w14:paraId="1EFE3DB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擅自破坏、拆除、移动安全警示、安全设施</w:t>
            </w:r>
          </w:p>
        </w:tc>
        <w:tc>
          <w:tcPr>
            <w:tcW w:w="1701" w:type="dxa"/>
            <w:noWrap w:val="0"/>
            <w:vAlign w:val="center"/>
          </w:tcPr>
          <w:p w14:paraId="3A8E401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200元/处</w:t>
            </w:r>
          </w:p>
        </w:tc>
      </w:tr>
      <w:tr w14:paraId="1CF42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noWrap w:val="0"/>
            <w:vAlign w:val="center"/>
          </w:tcPr>
          <w:p w14:paraId="70E92549">
            <w:pPr>
              <w:spacing w:line="420" w:lineRule="exact"/>
              <w:rPr>
                <w:rFonts w:hint="eastAsia" w:ascii="仿宋" w:hAnsi="仿宋" w:eastAsia="仿宋" w:cs="仿宋"/>
                <w:color w:val="auto"/>
                <w:sz w:val="24"/>
                <w:highlight w:val="none"/>
                <w:lang w:val="en-US" w:eastAsia="zh-CN"/>
              </w:rPr>
            </w:pPr>
          </w:p>
        </w:tc>
        <w:tc>
          <w:tcPr>
            <w:tcW w:w="1843" w:type="dxa"/>
            <w:vMerge w:val="continue"/>
            <w:noWrap w:val="0"/>
            <w:vAlign w:val="center"/>
          </w:tcPr>
          <w:p w14:paraId="0859C2D8">
            <w:pPr>
              <w:spacing w:line="420" w:lineRule="exact"/>
              <w:rPr>
                <w:rFonts w:hint="eastAsia" w:ascii="仿宋" w:hAnsi="仿宋" w:eastAsia="仿宋" w:cs="仿宋"/>
                <w:color w:val="auto"/>
                <w:sz w:val="24"/>
                <w:highlight w:val="none"/>
                <w:lang w:val="en-US" w:eastAsia="zh-CN"/>
              </w:rPr>
            </w:pPr>
          </w:p>
        </w:tc>
        <w:tc>
          <w:tcPr>
            <w:tcW w:w="4678" w:type="dxa"/>
            <w:noWrap w:val="0"/>
            <w:vAlign w:val="center"/>
          </w:tcPr>
          <w:p w14:paraId="6E8A15E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打架斗殴，作业地点嬉戏疯斗拉、扯、扔物等</w:t>
            </w:r>
          </w:p>
        </w:tc>
        <w:tc>
          <w:tcPr>
            <w:tcW w:w="1701" w:type="dxa"/>
            <w:noWrap w:val="0"/>
            <w:vAlign w:val="center"/>
          </w:tcPr>
          <w:p w14:paraId="5772AD4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200元/次</w:t>
            </w:r>
          </w:p>
        </w:tc>
      </w:tr>
      <w:tr w14:paraId="49BBD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noWrap w:val="0"/>
            <w:vAlign w:val="center"/>
          </w:tcPr>
          <w:p w14:paraId="37DBDB9D">
            <w:pPr>
              <w:spacing w:line="420" w:lineRule="exact"/>
              <w:rPr>
                <w:rFonts w:hint="eastAsia" w:ascii="仿宋" w:hAnsi="仿宋" w:eastAsia="仿宋" w:cs="仿宋"/>
                <w:color w:val="auto"/>
                <w:sz w:val="24"/>
                <w:highlight w:val="none"/>
                <w:lang w:val="en-US" w:eastAsia="zh-CN"/>
              </w:rPr>
            </w:pPr>
          </w:p>
        </w:tc>
        <w:tc>
          <w:tcPr>
            <w:tcW w:w="1843" w:type="dxa"/>
            <w:vMerge w:val="continue"/>
            <w:noWrap w:val="0"/>
            <w:vAlign w:val="center"/>
          </w:tcPr>
          <w:p w14:paraId="6FBCA9B7">
            <w:pPr>
              <w:spacing w:line="420" w:lineRule="exact"/>
              <w:rPr>
                <w:rFonts w:hint="eastAsia" w:ascii="仿宋" w:hAnsi="仿宋" w:eastAsia="仿宋" w:cs="仿宋"/>
                <w:color w:val="auto"/>
                <w:sz w:val="24"/>
                <w:highlight w:val="none"/>
                <w:lang w:val="en-US" w:eastAsia="zh-CN"/>
              </w:rPr>
            </w:pPr>
          </w:p>
        </w:tc>
        <w:tc>
          <w:tcPr>
            <w:tcW w:w="4678" w:type="dxa"/>
            <w:noWrap w:val="0"/>
            <w:vAlign w:val="center"/>
          </w:tcPr>
          <w:p w14:paraId="458D4D8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携带危险品进入现场</w:t>
            </w:r>
          </w:p>
        </w:tc>
        <w:tc>
          <w:tcPr>
            <w:tcW w:w="1701" w:type="dxa"/>
            <w:noWrap w:val="0"/>
            <w:vAlign w:val="center"/>
          </w:tcPr>
          <w:p w14:paraId="33963FA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1000元/次</w:t>
            </w:r>
          </w:p>
        </w:tc>
      </w:tr>
      <w:tr w14:paraId="2DF30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noWrap w:val="0"/>
            <w:vAlign w:val="center"/>
          </w:tcPr>
          <w:p w14:paraId="3EBF9EFA">
            <w:pPr>
              <w:spacing w:line="420" w:lineRule="exact"/>
              <w:rPr>
                <w:rFonts w:hint="eastAsia" w:ascii="仿宋" w:hAnsi="仿宋" w:eastAsia="仿宋" w:cs="仿宋"/>
                <w:color w:val="auto"/>
                <w:sz w:val="24"/>
                <w:highlight w:val="none"/>
                <w:lang w:val="en-US" w:eastAsia="zh-CN"/>
              </w:rPr>
            </w:pPr>
          </w:p>
        </w:tc>
        <w:tc>
          <w:tcPr>
            <w:tcW w:w="1843" w:type="dxa"/>
            <w:vMerge w:val="continue"/>
            <w:noWrap w:val="0"/>
            <w:vAlign w:val="center"/>
          </w:tcPr>
          <w:p w14:paraId="0BFC19A0">
            <w:pPr>
              <w:spacing w:line="420" w:lineRule="exact"/>
              <w:rPr>
                <w:rFonts w:hint="eastAsia" w:ascii="仿宋" w:hAnsi="仿宋" w:eastAsia="仿宋" w:cs="仿宋"/>
                <w:color w:val="auto"/>
                <w:sz w:val="24"/>
                <w:highlight w:val="none"/>
                <w:lang w:val="en-US" w:eastAsia="zh-CN"/>
              </w:rPr>
            </w:pPr>
          </w:p>
        </w:tc>
        <w:tc>
          <w:tcPr>
            <w:tcW w:w="4678" w:type="dxa"/>
            <w:noWrap w:val="0"/>
            <w:vAlign w:val="center"/>
          </w:tcPr>
          <w:p w14:paraId="4B76220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禁烟场所吸烟</w:t>
            </w:r>
          </w:p>
        </w:tc>
        <w:tc>
          <w:tcPr>
            <w:tcW w:w="1701" w:type="dxa"/>
            <w:noWrap w:val="0"/>
            <w:vAlign w:val="center"/>
          </w:tcPr>
          <w:p w14:paraId="29D1F45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200元/人次</w:t>
            </w:r>
          </w:p>
        </w:tc>
      </w:tr>
    </w:tbl>
    <w:p w14:paraId="3B392954">
      <w:pPr>
        <w:spacing w:line="420" w:lineRule="exact"/>
        <w:rPr>
          <w:rFonts w:hint="eastAsia" w:ascii="仿宋" w:hAnsi="仿宋" w:eastAsia="仿宋" w:cs="仿宋"/>
          <w:color w:val="auto"/>
          <w:sz w:val="24"/>
          <w:highlight w:val="none"/>
          <w:lang w:val="en-US" w:eastAsia="zh-CN"/>
        </w:rPr>
      </w:pPr>
    </w:p>
    <w:p w14:paraId="3C7A02F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六、附则</w:t>
      </w:r>
    </w:p>
    <w:p w14:paraId="784703C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未尽事宜按甲方安全生产管理制度及甲方项目安全生产管理办法执行。</w:t>
      </w:r>
    </w:p>
    <w:p w14:paraId="446D8A16">
      <w:pPr>
        <w:spacing w:line="420" w:lineRule="exact"/>
        <w:rPr>
          <w:rFonts w:hint="eastAsia" w:ascii="仿宋" w:hAnsi="仿宋" w:eastAsia="仿宋" w:cs="仿宋"/>
          <w:color w:val="auto"/>
          <w:sz w:val="24"/>
          <w:highlight w:val="none"/>
          <w:lang w:val="en-US" w:eastAsia="zh-CN"/>
        </w:rPr>
      </w:pPr>
    </w:p>
    <w:p w14:paraId="5A95B363">
      <w:pPr>
        <w:spacing w:line="420" w:lineRule="exact"/>
        <w:rPr>
          <w:rFonts w:hint="eastAsia" w:ascii="仿宋" w:hAnsi="仿宋" w:eastAsia="仿宋" w:cs="仿宋"/>
          <w:color w:val="auto"/>
          <w:sz w:val="24"/>
          <w:highlight w:val="none"/>
          <w:lang w:val="en-US" w:eastAsia="zh-CN"/>
        </w:rPr>
      </w:pPr>
    </w:p>
    <w:p w14:paraId="46C89F2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甲方（盖章）：                          乙方（盖章）：</w:t>
      </w:r>
    </w:p>
    <w:p w14:paraId="37F565C6">
      <w:pPr>
        <w:spacing w:line="420" w:lineRule="exact"/>
        <w:rPr>
          <w:rFonts w:hint="eastAsia" w:ascii="仿宋" w:hAnsi="仿宋" w:eastAsia="仿宋" w:cs="仿宋"/>
          <w:color w:val="auto"/>
          <w:sz w:val="24"/>
          <w:highlight w:val="none"/>
          <w:lang w:val="en-US" w:eastAsia="zh-CN"/>
        </w:rPr>
      </w:pPr>
    </w:p>
    <w:p w14:paraId="3B932B4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法定代表人（签章）：                          法定代表人（签章）：</w:t>
      </w:r>
    </w:p>
    <w:p w14:paraId="5827D19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或                                            或</w:t>
      </w:r>
    </w:p>
    <w:p w14:paraId="063313F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委托代理人（签字）：                          委托代理人（签字）：</w:t>
      </w:r>
    </w:p>
    <w:p w14:paraId="71DA9A09">
      <w:pPr>
        <w:spacing w:line="420" w:lineRule="exact"/>
        <w:rPr>
          <w:rFonts w:hint="eastAsia" w:ascii="仿宋" w:hAnsi="仿宋" w:eastAsia="仿宋" w:cs="仿宋"/>
          <w:color w:val="auto"/>
          <w:sz w:val="24"/>
          <w:highlight w:val="none"/>
          <w:lang w:val="en-US" w:eastAsia="zh-CN"/>
        </w:rPr>
      </w:pPr>
    </w:p>
    <w:p w14:paraId="38F7C79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时间：      年   月   日                      时间：      年   月   日</w:t>
      </w:r>
    </w:p>
    <w:p w14:paraId="6508857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br w:type="page"/>
      </w:r>
      <w:bookmarkStart w:id="64" w:name="_Toc460850007"/>
      <w:bookmarkStart w:id="65" w:name="_Toc10847"/>
      <w:bookmarkStart w:id="66" w:name="_Toc29626"/>
      <w:bookmarkStart w:id="67" w:name="_Toc29782"/>
      <w:bookmarkStart w:id="68" w:name="_Toc306867655"/>
      <w:bookmarkStart w:id="69" w:name="_Toc19299"/>
      <w:r>
        <w:rPr>
          <w:rFonts w:hint="eastAsia" w:ascii="仿宋" w:hAnsi="仿宋" w:eastAsia="仿宋" w:cs="仿宋"/>
          <w:color w:val="auto"/>
          <w:sz w:val="24"/>
          <w:highlight w:val="none"/>
          <w:lang w:val="en-US" w:eastAsia="zh-CN"/>
        </w:rPr>
        <w:t>附件二：                  文明施工协议书</w:t>
      </w:r>
      <w:bookmarkEnd w:id="64"/>
      <w:bookmarkEnd w:id="65"/>
      <w:bookmarkEnd w:id="66"/>
      <w:bookmarkEnd w:id="67"/>
      <w:bookmarkEnd w:id="68"/>
      <w:bookmarkEnd w:id="69"/>
    </w:p>
    <w:p w14:paraId="7182EDE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w:t>
      </w:r>
    </w:p>
    <w:p w14:paraId="7970B1A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乙方：                </w:t>
      </w:r>
    </w:p>
    <w:p w14:paraId="7045C430">
      <w:pPr>
        <w:spacing w:line="420" w:lineRule="exact"/>
        <w:rPr>
          <w:rFonts w:hint="eastAsia" w:ascii="仿宋" w:hAnsi="仿宋" w:eastAsia="仿宋" w:cs="仿宋"/>
          <w:color w:val="auto"/>
          <w:sz w:val="24"/>
          <w:highlight w:val="none"/>
          <w:lang w:val="en-US" w:eastAsia="zh-CN"/>
        </w:rPr>
      </w:pPr>
    </w:p>
    <w:p w14:paraId="21A2C2F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为了采取有力措施确保工程施工期间现场文明整洁，达到“标准化施工现场”，创建绿色环保工地，特别制定本协议，双方遵守。</w:t>
      </w:r>
    </w:p>
    <w:p w14:paraId="442B605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第一条  工程名称：                                            </w:t>
      </w:r>
    </w:p>
    <w:p w14:paraId="4E337A2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第二条  文明施工责任区域：施工总平面图中划分给乙方的施工作业区域，办公区域及生活区域。</w:t>
      </w:r>
    </w:p>
    <w:p w14:paraId="62F4023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第三条：文明施工管理目标：现场安全文明施工配置标准应符合《德阳市建设工程施工现场暨安全生产标准化管理图册》的标准要求。</w:t>
      </w:r>
    </w:p>
    <w:p w14:paraId="64AF947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第四条：甲方责任</w:t>
      </w:r>
    </w:p>
    <w:p w14:paraId="5C1B97A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1、制定项目平面图，并按总平面图布置的要求组织实施。</w:t>
      </w:r>
    </w:p>
    <w:p w14:paraId="145FB2C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2、制定文明施工管理细则，并督促进入场所的所有施工队伍遵照执行。</w:t>
      </w:r>
    </w:p>
    <w:p w14:paraId="5E3D4EB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第五条：乙方责任</w:t>
      </w:r>
    </w:p>
    <w:p w14:paraId="38BCD47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1、负责责任区域内文明施工，做到责任区域内：</w:t>
      </w:r>
    </w:p>
    <w:p w14:paraId="5A7C3C5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（1）临时道路通畅、干净（无垃圾、无积水、无坑凹）；</w:t>
      </w:r>
    </w:p>
    <w:p w14:paraId="0D28DC47">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（2）排水沟无堵塞；</w:t>
      </w:r>
    </w:p>
    <w:p w14:paraId="23CAFA5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（3）供水、供电线管排列整齐、规范、安全；</w:t>
      </w:r>
    </w:p>
    <w:p w14:paraId="0BF80C3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（4）堆场整齐、干净、规范；</w:t>
      </w:r>
    </w:p>
    <w:p w14:paraId="515672B2">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（5）建筑物作业完后立即清扫干净、无杂物、无烟头、无垃圾、无不用的工、器具；</w:t>
      </w:r>
    </w:p>
    <w:p w14:paraId="75A5442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（6）办公室干净、整洁、物件放置有序；门前无积水，桌上无灰尘，地面无垃圾；</w:t>
      </w:r>
    </w:p>
    <w:p w14:paraId="7E20845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（7）生活区内无积水、无垃圾，地面干净，宿舍内床铺整洁，个人物件放置整齐，符合卫生要求。</w:t>
      </w:r>
    </w:p>
    <w:p w14:paraId="447CED7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3、负责责任区域内综合治理，做到责任区域内无火警，无打架斗殴、违反治安管理条例事件发生。</w:t>
      </w:r>
    </w:p>
    <w:p w14:paraId="6474E77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4、接受甲方组织或上级组织的各种文明施工检查，限时整改存在的问题，接受甲方检查后的奖罚。</w:t>
      </w:r>
    </w:p>
    <w:p w14:paraId="752B784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第六条：为促进文明施工管理日常化，随时保持现场文明整洁。甲方指定专人负责文明施工随机检查，发现以下现象，可随时开具罚款单。</w:t>
      </w:r>
    </w:p>
    <w:p w14:paraId="1B70040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 、未经书面请示并获批准就进行以下作业者，除立即整改外，每次向甲方赔偿200—500元，同时承担由此造成的其他损失：</w:t>
      </w:r>
    </w:p>
    <w:p w14:paraId="77EDEB00">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（1）占公用道路作业造成堵塞者；</w:t>
      </w:r>
    </w:p>
    <w:p w14:paraId="3B4E176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（2）断电、断水影响其他区域施工者；</w:t>
      </w:r>
    </w:p>
    <w:p w14:paraId="1061FE1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（3）堵断主排水沟者；</w:t>
      </w:r>
    </w:p>
    <w:p w14:paraId="2929E1BA">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（4）其他影响公共利益现象者。</w:t>
      </w:r>
    </w:p>
    <w:p w14:paraId="113F1148">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 、进场材料、成品、半成品未堆放整齐，或未堆放在指定地点，除限时改正外，向甲方赔偿100元。</w:t>
      </w:r>
    </w:p>
    <w:p w14:paraId="21FBAD9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 、建筑材料堆放不整齐，未按要求标出名称、品种，每次向甲方赔偿100—300元（视量大小）。</w:t>
      </w:r>
    </w:p>
    <w:p w14:paraId="6C804C0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 、易燃易爆物未分类妥善存放，每件、次向甲方赔偿100元。</w:t>
      </w:r>
    </w:p>
    <w:p w14:paraId="44E8A1F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 、工完场地不清（有建筑垃圾、有闲置周转材料、器具、有剩余材料、有生活垃圾等），每处向甲方赔偿100元。</w:t>
      </w:r>
    </w:p>
    <w:p w14:paraId="097ADD3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6 、乱接搭电线者，每处向甲方赔偿100元。</w:t>
      </w:r>
    </w:p>
    <w:p w14:paraId="07AF0020">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7 、宿舍、办公室照明灯具功率大于60W（特许处除外）者，灯泡没收，并向甲方赔偿100元/次。</w:t>
      </w:r>
    </w:p>
    <w:p w14:paraId="692F3B5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8 、责任区域内有积水（面积≥1㎡），每次向甲方赔偿100元。</w:t>
      </w:r>
    </w:p>
    <w:p w14:paraId="58D794A2">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9 、办公室、宿舍内区域地面有垃圾者，每处向甲方赔偿100元。</w:t>
      </w:r>
    </w:p>
    <w:p w14:paraId="25B11B30">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10、随地大小便者,每处向甲方赔偿200元。</w:t>
      </w:r>
    </w:p>
    <w:p w14:paraId="3E2C3DC5">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11、乱写乱画污染环境者，每处向甲方赔偿100元。</w:t>
      </w:r>
    </w:p>
    <w:p w14:paraId="453497DA">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12、办公室、宿舍内桌面有灰尘、堆物零乱、床铺不整洁者，每处向甲方赔偿100元。</w:t>
      </w:r>
    </w:p>
    <w:p w14:paraId="13C47E04">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13、厨房卫生不符合要求者，每处向甲方赔偿100元。</w:t>
      </w:r>
    </w:p>
    <w:p w14:paraId="2DBA2AFF">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14、凡发现上述现象，甲方指定人中均应开具罚款单，找乙方班长以上管理人员现场确认，并在罚款单上签字，一式三份，一份留乙方，一份交回甲方财务，在拨付人工款中扣除，一份出据人自留。</w:t>
      </w:r>
    </w:p>
    <w:p w14:paraId="1558397B">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15、出具罚款单的同时，要求乙方限时改正，到时检查，乙方未改正或整改不彻底，应加倍罚款，直到乙方改正为此。若乙方人员无理拒绝接受罚款单，甲方人员可在罚款单上注明情况，加倍罚款。</w:t>
      </w:r>
    </w:p>
    <w:p w14:paraId="7DF529F3">
      <w:pPr>
        <w:spacing w:line="420" w:lineRule="exact"/>
        <w:rPr>
          <w:rFonts w:hint="eastAsia" w:ascii="仿宋" w:hAnsi="仿宋" w:eastAsia="仿宋" w:cs="仿宋"/>
          <w:color w:val="auto"/>
          <w:sz w:val="24"/>
          <w:highlight w:val="none"/>
          <w:lang w:val="en-US" w:eastAsia="zh-CN"/>
        </w:rPr>
      </w:pPr>
    </w:p>
    <w:p w14:paraId="26E06698">
      <w:pPr>
        <w:spacing w:line="420" w:lineRule="exact"/>
        <w:rPr>
          <w:rFonts w:hint="eastAsia" w:ascii="仿宋" w:hAnsi="仿宋" w:eastAsia="仿宋" w:cs="仿宋"/>
          <w:color w:val="auto"/>
          <w:sz w:val="24"/>
          <w:highlight w:val="none"/>
          <w:lang w:val="en-US" w:eastAsia="zh-CN"/>
        </w:rPr>
      </w:pPr>
    </w:p>
    <w:p w14:paraId="398E7D26">
      <w:pPr>
        <w:spacing w:line="420" w:lineRule="exact"/>
        <w:rPr>
          <w:rFonts w:hint="eastAsia" w:ascii="仿宋" w:hAnsi="仿宋" w:eastAsia="仿宋" w:cs="仿宋"/>
          <w:color w:val="auto"/>
          <w:sz w:val="24"/>
          <w:highlight w:val="none"/>
          <w:lang w:val="en-US" w:eastAsia="zh-CN"/>
        </w:rPr>
      </w:pPr>
    </w:p>
    <w:p w14:paraId="1B49BD8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甲方（盖章）：                                乙方（盖章）：</w:t>
      </w:r>
    </w:p>
    <w:p w14:paraId="11B3921C">
      <w:pPr>
        <w:spacing w:line="420" w:lineRule="exact"/>
        <w:rPr>
          <w:rFonts w:hint="eastAsia" w:ascii="仿宋" w:hAnsi="仿宋" w:eastAsia="仿宋" w:cs="仿宋"/>
          <w:color w:val="auto"/>
          <w:sz w:val="24"/>
          <w:highlight w:val="none"/>
          <w:lang w:val="en-US" w:eastAsia="zh-CN"/>
        </w:rPr>
      </w:pPr>
    </w:p>
    <w:p w14:paraId="17010C1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法定代表人（签章）：                          法定代表人（签章）：</w:t>
      </w:r>
    </w:p>
    <w:p w14:paraId="71D605C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或                                            或</w:t>
      </w:r>
    </w:p>
    <w:p w14:paraId="3F1A259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委托代理人（签字）：                          委托代理人（签字）：</w:t>
      </w:r>
    </w:p>
    <w:p w14:paraId="58E7EED4">
      <w:pPr>
        <w:spacing w:line="420" w:lineRule="exact"/>
        <w:rPr>
          <w:rFonts w:hint="eastAsia" w:ascii="仿宋" w:hAnsi="仿宋" w:eastAsia="仿宋" w:cs="仿宋"/>
          <w:color w:val="auto"/>
          <w:sz w:val="24"/>
          <w:highlight w:val="none"/>
          <w:lang w:val="en-US" w:eastAsia="zh-CN"/>
        </w:rPr>
      </w:pPr>
    </w:p>
    <w:p w14:paraId="13840C9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时间：      年   月   日                      时间：     年   月   日</w:t>
      </w:r>
    </w:p>
    <w:p w14:paraId="2D0D836A">
      <w:pPr>
        <w:spacing w:line="420" w:lineRule="exact"/>
        <w:rPr>
          <w:rFonts w:hint="eastAsia" w:ascii="仿宋" w:hAnsi="仿宋" w:eastAsia="仿宋" w:cs="仿宋"/>
          <w:color w:val="auto"/>
          <w:sz w:val="24"/>
          <w:highlight w:val="none"/>
          <w:lang w:val="en-US" w:eastAsia="zh-CN"/>
        </w:rPr>
      </w:pPr>
    </w:p>
    <w:p w14:paraId="6C8F5BEC">
      <w:pPr>
        <w:spacing w:line="420" w:lineRule="exact"/>
        <w:rPr>
          <w:rFonts w:hint="eastAsia" w:ascii="仿宋" w:hAnsi="仿宋" w:eastAsia="仿宋" w:cs="仿宋"/>
          <w:color w:val="auto"/>
          <w:sz w:val="24"/>
          <w:highlight w:val="none"/>
          <w:lang w:val="en-US" w:eastAsia="zh-CN"/>
        </w:rPr>
      </w:pPr>
    </w:p>
    <w:p w14:paraId="16EC6E8B">
      <w:pPr>
        <w:spacing w:line="420" w:lineRule="exact"/>
        <w:rPr>
          <w:rFonts w:hint="eastAsia" w:ascii="仿宋" w:hAnsi="仿宋" w:eastAsia="仿宋" w:cs="仿宋"/>
          <w:color w:val="auto"/>
          <w:sz w:val="24"/>
          <w:highlight w:val="none"/>
          <w:lang w:val="en-US" w:eastAsia="zh-CN"/>
        </w:rPr>
      </w:pPr>
    </w:p>
    <w:p w14:paraId="2EB26D48">
      <w:pPr>
        <w:spacing w:line="420" w:lineRule="exact"/>
        <w:rPr>
          <w:rFonts w:hint="eastAsia" w:ascii="仿宋" w:hAnsi="仿宋" w:eastAsia="仿宋" w:cs="仿宋"/>
          <w:color w:val="auto"/>
          <w:sz w:val="24"/>
          <w:highlight w:val="none"/>
          <w:lang w:val="en-US" w:eastAsia="zh-CN"/>
        </w:rPr>
      </w:pPr>
    </w:p>
    <w:p w14:paraId="539A42BC">
      <w:pPr>
        <w:spacing w:line="420" w:lineRule="exact"/>
        <w:rPr>
          <w:rFonts w:hint="eastAsia" w:ascii="仿宋" w:hAnsi="仿宋" w:eastAsia="仿宋" w:cs="仿宋"/>
          <w:color w:val="auto"/>
          <w:sz w:val="24"/>
          <w:highlight w:val="none"/>
          <w:lang w:val="en-US" w:eastAsia="zh-CN"/>
        </w:rPr>
      </w:pPr>
    </w:p>
    <w:p w14:paraId="021E6E46">
      <w:pPr>
        <w:spacing w:line="420" w:lineRule="exact"/>
        <w:rPr>
          <w:rFonts w:hint="eastAsia" w:ascii="仿宋" w:hAnsi="仿宋" w:eastAsia="仿宋" w:cs="仿宋"/>
          <w:color w:val="auto"/>
          <w:sz w:val="24"/>
          <w:highlight w:val="none"/>
          <w:lang w:val="en-US" w:eastAsia="zh-CN"/>
        </w:rPr>
      </w:pPr>
    </w:p>
    <w:p w14:paraId="7F92DAB2">
      <w:pP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br w:type="page"/>
      </w:r>
    </w:p>
    <w:p w14:paraId="33198397">
      <w:pPr>
        <w:spacing w:line="420" w:lineRule="exact"/>
        <w:rPr>
          <w:rFonts w:hint="eastAsia" w:ascii="仿宋" w:hAnsi="仿宋" w:eastAsia="仿宋" w:cs="仿宋"/>
          <w:color w:val="auto"/>
          <w:sz w:val="24"/>
          <w:highlight w:val="none"/>
          <w:lang w:val="en-US" w:eastAsia="zh-CN"/>
        </w:rPr>
      </w:pPr>
      <w:bookmarkStart w:id="70" w:name="_Toc460850008"/>
      <w:bookmarkStart w:id="71" w:name="_Toc27422"/>
      <w:bookmarkStart w:id="72" w:name="_Toc25516"/>
      <w:bookmarkStart w:id="73" w:name="_Toc1394"/>
      <w:r>
        <w:rPr>
          <w:rFonts w:hint="eastAsia" w:ascii="仿宋" w:hAnsi="仿宋" w:eastAsia="仿宋" w:cs="仿宋"/>
          <w:color w:val="auto"/>
          <w:sz w:val="24"/>
          <w:highlight w:val="none"/>
          <w:lang w:val="en-US" w:eastAsia="zh-CN"/>
        </w:rPr>
        <w:t>附件三：                    质量保证协议书</w:t>
      </w:r>
      <w:bookmarkEnd w:id="70"/>
      <w:bookmarkEnd w:id="71"/>
      <w:bookmarkEnd w:id="72"/>
      <w:bookmarkEnd w:id="73"/>
    </w:p>
    <w:p w14:paraId="48DBC5A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w:t>
      </w:r>
    </w:p>
    <w:p w14:paraId="7930620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w:t>
      </w:r>
    </w:p>
    <w:p w14:paraId="167510C3">
      <w:pPr>
        <w:spacing w:line="420" w:lineRule="exact"/>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为加强质量管理，明确双方质量责任，共同保证工程质量达到预定管理目标，经双方商定形成共识后签订本协议以便共同遵守。</w:t>
      </w:r>
    </w:p>
    <w:p w14:paraId="03DCD0B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第一条：工程名称：                                                   </w:t>
      </w:r>
    </w:p>
    <w:p w14:paraId="39B8F912">
      <w:pPr>
        <w:spacing w:line="420" w:lineRule="exact"/>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工程内容范围：详见分包合同。</w:t>
      </w:r>
    </w:p>
    <w:p w14:paraId="6701A9D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第二条：质量目标：合格并满足国家相关规范标准要求。</w:t>
      </w:r>
    </w:p>
    <w:p w14:paraId="4E74AE3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第三条：甲方责任</w:t>
      </w:r>
    </w:p>
    <w:p w14:paraId="2AF58E6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1、向乙方提供相关的施工图纸1套；</w:t>
      </w:r>
    </w:p>
    <w:p w14:paraId="06019E08">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2、对乙方进行技术交底；</w:t>
      </w:r>
    </w:p>
    <w:p w14:paraId="07708D8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3、组织一级专检。</w:t>
      </w:r>
    </w:p>
    <w:p w14:paraId="01BF69A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第四条：乙方质量责任</w:t>
      </w:r>
    </w:p>
    <w:p w14:paraId="4F5FCE0D">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1、乙方负责根据甲方提供的合格的工程材料进行施工，进行班组自检、互检，保证施工质量达到合格。</w:t>
      </w:r>
    </w:p>
    <w:p w14:paraId="65D27C46">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2、乙方不能因工程交竣工而免除应承担的质量安全责任。如果由于施工质量引起的结构安全隐患或导致发生质量安全事故，乙方承担全部责任。质量保修完成后，由甲方组织验收。</w:t>
      </w:r>
    </w:p>
    <w:p w14:paraId="13A2C65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第五条：奖罚细则</w:t>
      </w:r>
    </w:p>
    <w:p w14:paraId="512417C4">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 、工程质量必须达到合格的；否则，其工程价款不予支付，并向甲方赔偿由此造成的材料等损失。</w:t>
      </w:r>
    </w:p>
    <w:p w14:paraId="58EBBA43">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 、交底经签字确认后，不按技术交底进行施工的，每次向甲方赔偿500元。</w:t>
      </w:r>
    </w:p>
    <w:p w14:paraId="54F62571">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 、每一道工序施工完毕，必须进行全面检查，自检达到要求后，才能请质检员进行专检。专检未达到要求的，每次向甲方赔偿300元。</w:t>
      </w:r>
    </w:p>
    <w:p w14:paraId="0D5DE880">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 、上一道工序未经专检，或专检检查后要求整改而未整改就进行下一道工序的施工，每次向甲方赔偿500元。</w:t>
      </w:r>
    </w:p>
    <w:p w14:paraId="3C20283A">
      <w:pPr>
        <w:spacing w:line="420" w:lineRule="exact"/>
        <w:ind w:firstLine="420" w:firstLineChars="17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5 、分部分项工程推行样板制，每道工序先施工样板，待甲方、监理和项目部对样板认可后再确定实施，未经样板确认乙方不得擅自进行班组确认和下一道工序的施工，每出现一次乙方向甲方赔偿2000元。</w:t>
      </w:r>
    </w:p>
    <w:p w14:paraId="4161751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第六条、乙方在执行本协议过程中应同时执行总包合同中关于建筑工程质量保修书约定方面内容，承担其对甲方的全部义务。</w:t>
      </w:r>
    </w:p>
    <w:p w14:paraId="72F5A41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第七条、本协议经双方盖章后生效，工程结算完后失效，协议解释权在甲方。</w:t>
      </w:r>
    </w:p>
    <w:p w14:paraId="3E155759">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八条、乙方必须配备符合甲方要求持证上岗的质检员，若乙方未配备质检员，则罚款5000元；若乙方配备质检员，但不满足甲方要求或未持证上岗，甲方发现一次罚款3000元，直至乙方配备符合甲方要求持证上岗的质检员为止。</w:t>
      </w:r>
    </w:p>
    <w:p w14:paraId="6CCBBD20">
      <w:pPr>
        <w:spacing w:line="420" w:lineRule="exact"/>
        <w:rPr>
          <w:rFonts w:hint="eastAsia" w:ascii="仿宋" w:hAnsi="仿宋" w:eastAsia="仿宋" w:cs="仿宋"/>
          <w:color w:val="auto"/>
          <w:sz w:val="24"/>
          <w:highlight w:val="none"/>
          <w:lang w:val="en-US" w:eastAsia="zh-CN"/>
        </w:rPr>
      </w:pPr>
    </w:p>
    <w:p w14:paraId="0846F88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甲方（盖章）：                          乙方（盖章）：</w:t>
      </w:r>
    </w:p>
    <w:p w14:paraId="689320AE">
      <w:pPr>
        <w:spacing w:line="420" w:lineRule="exact"/>
        <w:rPr>
          <w:rFonts w:hint="eastAsia" w:ascii="仿宋" w:hAnsi="仿宋" w:eastAsia="仿宋" w:cs="仿宋"/>
          <w:color w:val="auto"/>
          <w:sz w:val="24"/>
          <w:highlight w:val="none"/>
          <w:lang w:val="en-US" w:eastAsia="zh-CN"/>
        </w:rPr>
      </w:pPr>
    </w:p>
    <w:p w14:paraId="39EA37C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法定代表人（签章）：                          法定代表人（签章）：</w:t>
      </w:r>
    </w:p>
    <w:p w14:paraId="30D9434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或                                            或</w:t>
      </w:r>
    </w:p>
    <w:p w14:paraId="7098823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委托代理人（签字）：                          委托代理人（签字）：</w:t>
      </w:r>
    </w:p>
    <w:p w14:paraId="407296FE">
      <w:pPr>
        <w:spacing w:line="420" w:lineRule="exact"/>
        <w:rPr>
          <w:rFonts w:hint="eastAsia" w:ascii="仿宋" w:hAnsi="仿宋" w:eastAsia="仿宋" w:cs="仿宋"/>
          <w:color w:val="auto"/>
          <w:sz w:val="24"/>
          <w:highlight w:val="none"/>
          <w:lang w:val="en-US" w:eastAsia="zh-CN"/>
        </w:rPr>
      </w:pPr>
    </w:p>
    <w:p w14:paraId="4A334D9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时间：       年   月   日                      时间：      年   月   日</w:t>
      </w:r>
    </w:p>
    <w:p w14:paraId="5277A868">
      <w:pPr>
        <w:spacing w:line="420" w:lineRule="exact"/>
        <w:rPr>
          <w:rFonts w:hint="eastAsia" w:ascii="仿宋" w:hAnsi="仿宋" w:eastAsia="仿宋" w:cs="仿宋"/>
          <w:color w:val="auto"/>
          <w:sz w:val="24"/>
          <w:highlight w:val="none"/>
          <w:lang w:val="en-US" w:eastAsia="zh-CN"/>
        </w:rPr>
      </w:pPr>
    </w:p>
    <w:p w14:paraId="7D3A124A">
      <w:pP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br w:type="page"/>
      </w:r>
    </w:p>
    <w:p w14:paraId="68CA7A0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附件四：            工程质量保修协议书</w:t>
      </w:r>
    </w:p>
    <w:p w14:paraId="1CDC520B">
      <w:pPr>
        <w:spacing w:line="420" w:lineRule="exact"/>
        <w:rPr>
          <w:rFonts w:hint="eastAsia" w:ascii="仿宋" w:hAnsi="仿宋" w:eastAsia="仿宋" w:cs="仿宋"/>
          <w:color w:val="auto"/>
          <w:sz w:val="24"/>
          <w:highlight w:val="none"/>
          <w:lang w:val="en-US" w:eastAsia="zh-CN"/>
        </w:rPr>
      </w:pPr>
    </w:p>
    <w:p w14:paraId="0D3CC1E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w:t>
      </w:r>
    </w:p>
    <w:p w14:paraId="60C0007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w:t>
      </w:r>
    </w:p>
    <w:p w14:paraId="0E29B4F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甲、乙方根据《中华人民共和国建筑法》、《建设工程质量管理条例》和《房屋建筑工程质量保修办法》，经协商一致，对                                               签订本工程质量保修合同书。</w:t>
      </w:r>
    </w:p>
    <w:p w14:paraId="12915D38">
      <w:pPr>
        <w:spacing w:line="420" w:lineRule="exact"/>
        <w:rPr>
          <w:rFonts w:hint="eastAsia" w:ascii="仿宋" w:hAnsi="仿宋" w:eastAsia="仿宋" w:cs="仿宋"/>
          <w:color w:val="auto"/>
          <w:sz w:val="24"/>
          <w:highlight w:val="none"/>
          <w:lang w:val="en-US" w:eastAsia="zh-CN"/>
        </w:rPr>
      </w:pPr>
      <w:bookmarkStart w:id="74" w:name="_Toc21459"/>
      <w:bookmarkStart w:id="75" w:name="_Toc10874"/>
      <w:bookmarkStart w:id="76" w:name="_Toc2280"/>
      <w:bookmarkStart w:id="77" w:name="_Toc24007"/>
      <w:bookmarkStart w:id="78" w:name="_Toc32751"/>
      <w:r>
        <w:rPr>
          <w:rFonts w:hint="eastAsia" w:ascii="仿宋" w:hAnsi="仿宋" w:eastAsia="仿宋" w:cs="仿宋"/>
          <w:color w:val="auto"/>
          <w:sz w:val="24"/>
          <w:highlight w:val="none"/>
          <w:lang w:val="en-US" w:eastAsia="zh-CN"/>
        </w:rPr>
        <w:t>1. 工程质量保修范围和内容</w:t>
      </w:r>
      <w:bookmarkEnd w:id="74"/>
      <w:bookmarkEnd w:id="75"/>
      <w:bookmarkEnd w:id="76"/>
      <w:bookmarkEnd w:id="77"/>
      <w:bookmarkEnd w:id="78"/>
      <w:r>
        <w:rPr>
          <w:rFonts w:hint="eastAsia" w:ascii="仿宋" w:hAnsi="仿宋" w:eastAsia="仿宋" w:cs="仿宋"/>
          <w:color w:val="auto"/>
          <w:sz w:val="24"/>
          <w:highlight w:val="none"/>
          <w:lang w:val="en-US" w:eastAsia="zh-CN"/>
        </w:rPr>
        <w:tab/>
      </w:r>
    </w:p>
    <w:p w14:paraId="2A380D7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1.1.乙方在质量保修期内，按照有关法律、法规、规章的管理规定和双方约定，承担施工合同约定的所有施工承包范围内工程质量保修责任。</w:t>
      </w:r>
    </w:p>
    <w:p w14:paraId="34DE100D">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1.2. 凡属于乙方原因造成的工程各部位的质量问题或其他缺陷，及由于工程质量缺陷与乙方维修造成项目业主单位的相关损失，均属于乙方保修责任范围；非乙方原因造成工程质量问题的，虽不属于乙方责任，但是经协商由乙方维修的，乙方应配合维修，费用由责任方承担，甲方协调。</w:t>
      </w:r>
    </w:p>
    <w:p w14:paraId="66083D2E">
      <w:pPr>
        <w:spacing w:line="360" w:lineRule="auto"/>
        <w:rPr>
          <w:rFonts w:hint="eastAsia" w:ascii="仿宋" w:hAnsi="仿宋" w:eastAsia="仿宋" w:cs="仿宋"/>
          <w:color w:val="auto"/>
          <w:sz w:val="24"/>
          <w:highlight w:val="none"/>
          <w:lang w:val="en-US" w:eastAsia="zh-CN"/>
        </w:rPr>
      </w:pPr>
      <w:bookmarkStart w:id="79" w:name="_Toc16190"/>
      <w:bookmarkStart w:id="80" w:name="_Toc20534"/>
      <w:bookmarkStart w:id="81" w:name="_Toc19141"/>
      <w:bookmarkStart w:id="82" w:name="_Toc18303"/>
      <w:bookmarkStart w:id="83" w:name="_Toc15994"/>
      <w:bookmarkStart w:id="84" w:name="_Toc10927"/>
      <w:r>
        <w:rPr>
          <w:rFonts w:hint="eastAsia" w:ascii="仿宋" w:hAnsi="仿宋" w:eastAsia="仿宋" w:cs="仿宋"/>
          <w:color w:val="auto"/>
          <w:sz w:val="24"/>
          <w:highlight w:val="none"/>
          <w:lang w:val="en-US" w:eastAsia="zh-CN"/>
        </w:rPr>
        <w:t>2. 质量保修期</w:t>
      </w:r>
      <w:bookmarkEnd w:id="79"/>
      <w:bookmarkEnd w:id="80"/>
      <w:bookmarkEnd w:id="81"/>
      <w:bookmarkEnd w:id="82"/>
      <w:bookmarkEnd w:id="83"/>
      <w:bookmarkEnd w:id="84"/>
    </w:p>
    <w:p w14:paraId="79E3CDBC">
      <w:pPr>
        <w:pStyle w:val="5"/>
        <w:spacing w:line="360" w:lineRule="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2.1工程验收后的6个月内</w:t>
      </w:r>
      <w:bookmarkStart w:id="85" w:name="_Toc17393"/>
      <w:bookmarkStart w:id="86" w:name="_Toc16118"/>
      <w:bookmarkStart w:id="87" w:name="_Toc30569"/>
      <w:bookmarkStart w:id="88" w:name="_Toc17498"/>
      <w:bookmarkStart w:id="89" w:name="_Toc27746"/>
      <w:bookmarkStart w:id="90" w:name="_Toc14882"/>
      <w:r>
        <w:rPr>
          <w:rFonts w:hint="eastAsia" w:ascii="仿宋" w:hAnsi="仿宋" w:eastAsia="仿宋" w:cs="仿宋"/>
          <w:color w:val="auto"/>
          <w:kern w:val="2"/>
          <w:sz w:val="24"/>
          <w:szCs w:val="24"/>
          <w:highlight w:val="none"/>
          <w:lang w:val="en-US" w:eastAsia="zh-CN" w:bidi="ar-SA"/>
        </w:rPr>
        <w:t>。</w:t>
      </w:r>
    </w:p>
    <w:p w14:paraId="2F2B7D73">
      <w:pPr>
        <w:pStyle w:val="5"/>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3．质量保修</w:t>
      </w:r>
      <w:bookmarkEnd w:id="85"/>
      <w:bookmarkEnd w:id="86"/>
      <w:bookmarkEnd w:id="87"/>
      <w:bookmarkEnd w:id="88"/>
      <w:bookmarkEnd w:id="89"/>
      <w:bookmarkEnd w:id="90"/>
    </w:p>
    <w:p w14:paraId="7EF3B89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3.1. 保修期内，乙方应派出足够的维修和管理人员常驻现场负责维修工作，认真履行保修责任，做到服务周到，随叫随到，如工程出现质量问题，乙方应在甲方通知24小时内赶到现场进行维修，履行保修义务，保证维修的质量及效果。</w:t>
      </w:r>
    </w:p>
    <w:p w14:paraId="0A0BFD5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3.2. 发生紧急抢修事故的，乙方在接到事故通知后，应当立即到达事故现场抢修。</w:t>
      </w:r>
    </w:p>
    <w:p w14:paraId="7C934FA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3.3. 乙方未能及时进场维修或不能维修或未能在甲方指定的合理期限内维修完好或经过两次维修都未能修好的，甲方有权安排另请他人代为维修并确定价格，所有修复费用及赔偿费用及甲方加收管理费(修复及赔偿费的15％)可以从甲方支付乙方的任何款项中扣除，同时乙方应赔偿甲方及任何第三人因此遭受的全部损失。</w:t>
      </w:r>
    </w:p>
    <w:p w14:paraId="5EAE0A2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3.4. 乙方每次维修完毕，应负责将施工现场清理干净并在完成后取得项目业主单位和甲方的验收签字。</w:t>
      </w:r>
    </w:p>
    <w:p w14:paraId="7C25756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3.5. 质量保修完成后，由甲方组织验收确认。</w:t>
      </w:r>
    </w:p>
    <w:p w14:paraId="3D100F00">
      <w:pPr>
        <w:spacing w:line="420" w:lineRule="exact"/>
        <w:rPr>
          <w:rFonts w:hint="eastAsia" w:ascii="仿宋" w:hAnsi="仿宋" w:eastAsia="仿宋" w:cs="仿宋"/>
          <w:color w:val="auto"/>
          <w:sz w:val="24"/>
          <w:highlight w:val="none"/>
          <w:lang w:val="en-US" w:eastAsia="zh-CN"/>
        </w:rPr>
      </w:pPr>
      <w:bookmarkStart w:id="91" w:name="_Toc9845"/>
      <w:bookmarkStart w:id="92" w:name="_Toc11797"/>
      <w:bookmarkStart w:id="93" w:name="_Toc8339"/>
      <w:bookmarkStart w:id="94" w:name="_Toc28331"/>
      <w:bookmarkStart w:id="95" w:name="_Toc61"/>
      <w:bookmarkStart w:id="96" w:name="_Toc3558"/>
      <w:r>
        <w:rPr>
          <w:rFonts w:hint="eastAsia" w:ascii="仿宋" w:hAnsi="仿宋" w:eastAsia="仿宋" w:cs="仿宋"/>
          <w:color w:val="auto"/>
          <w:sz w:val="24"/>
          <w:highlight w:val="none"/>
          <w:lang w:val="en-US" w:eastAsia="zh-CN"/>
        </w:rPr>
        <w:t>4. 其他</w:t>
      </w:r>
      <w:bookmarkEnd w:id="91"/>
      <w:bookmarkEnd w:id="92"/>
      <w:bookmarkEnd w:id="93"/>
      <w:bookmarkEnd w:id="94"/>
      <w:bookmarkEnd w:id="95"/>
      <w:bookmarkEnd w:id="96"/>
    </w:p>
    <w:p w14:paraId="2394125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约定的其他工程质量保修事项：无。</w:t>
      </w:r>
    </w:p>
    <w:p w14:paraId="1D60A2C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本工程质量保修书一式陆份，每方各叁份，自施工合同共同盖章之日起生效，本合同作为施工合同附件，其有效期限至保修期满。</w:t>
      </w:r>
    </w:p>
    <w:p w14:paraId="596A1D8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甲方（盖章）：                          乙方（盖章）：</w:t>
      </w:r>
    </w:p>
    <w:p w14:paraId="267872ED">
      <w:pPr>
        <w:spacing w:line="420" w:lineRule="exact"/>
        <w:rPr>
          <w:rFonts w:hint="eastAsia" w:ascii="仿宋" w:hAnsi="仿宋" w:eastAsia="仿宋" w:cs="仿宋"/>
          <w:color w:val="auto"/>
          <w:sz w:val="24"/>
          <w:highlight w:val="none"/>
          <w:lang w:val="en-US" w:eastAsia="zh-CN"/>
        </w:rPr>
      </w:pPr>
    </w:p>
    <w:p w14:paraId="12B18A5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法定代表人（签章）：                          法定代表人（签章）：</w:t>
      </w:r>
    </w:p>
    <w:p w14:paraId="7340C7F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或                                            或</w:t>
      </w:r>
    </w:p>
    <w:p w14:paraId="6008E36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委托代理人（签字）：                          委托代理人（签字）：</w:t>
      </w:r>
    </w:p>
    <w:p w14:paraId="2F838096">
      <w:pPr>
        <w:spacing w:line="420" w:lineRule="exact"/>
        <w:rPr>
          <w:rFonts w:hint="eastAsia" w:ascii="仿宋" w:hAnsi="仿宋" w:eastAsia="仿宋" w:cs="仿宋"/>
          <w:color w:val="auto"/>
          <w:sz w:val="24"/>
          <w:highlight w:val="none"/>
          <w:lang w:val="en-US" w:eastAsia="zh-CN"/>
        </w:rPr>
      </w:pPr>
    </w:p>
    <w:p w14:paraId="0CD5331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时间：      年   月   日                      时间：       年   月   日</w:t>
      </w:r>
    </w:p>
    <w:p w14:paraId="0AC52F6C">
      <w:pPr>
        <w:spacing w:line="420" w:lineRule="exact"/>
        <w:rPr>
          <w:rFonts w:hint="eastAsia" w:ascii="仿宋" w:hAnsi="仿宋" w:eastAsia="仿宋" w:cs="仿宋"/>
          <w:color w:val="auto"/>
          <w:sz w:val="24"/>
          <w:highlight w:val="none"/>
          <w:lang w:val="en-US" w:eastAsia="zh-CN"/>
        </w:rPr>
      </w:pPr>
    </w:p>
    <w:p w14:paraId="3531A117">
      <w:pPr>
        <w:spacing w:line="420" w:lineRule="exact"/>
        <w:rPr>
          <w:rFonts w:hint="eastAsia" w:ascii="仿宋" w:hAnsi="仿宋" w:eastAsia="仿宋" w:cs="仿宋"/>
          <w:color w:val="auto"/>
          <w:sz w:val="24"/>
          <w:highlight w:val="none"/>
          <w:lang w:val="en-US" w:eastAsia="zh-CN"/>
        </w:rPr>
      </w:pPr>
    </w:p>
    <w:p w14:paraId="01D731B2">
      <w:pPr>
        <w:spacing w:line="420" w:lineRule="exact"/>
        <w:rPr>
          <w:rFonts w:hint="eastAsia" w:ascii="仿宋" w:hAnsi="仿宋" w:eastAsia="仿宋" w:cs="仿宋"/>
          <w:color w:val="auto"/>
          <w:sz w:val="24"/>
          <w:highlight w:val="none"/>
          <w:lang w:val="en-US" w:eastAsia="zh-CN"/>
        </w:rPr>
      </w:pPr>
    </w:p>
    <w:p w14:paraId="2FBC50E7">
      <w:pPr>
        <w:spacing w:line="420" w:lineRule="exact"/>
        <w:rPr>
          <w:rFonts w:hint="eastAsia" w:ascii="仿宋" w:hAnsi="仿宋" w:eastAsia="仿宋" w:cs="仿宋"/>
          <w:color w:val="auto"/>
          <w:sz w:val="24"/>
          <w:highlight w:val="none"/>
          <w:lang w:val="en-US" w:eastAsia="zh-CN"/>
        </w:rPr>
      </w:pPr>
    </w:p>
    <w:p w14:paraId="2D72DB14">
      <w:pPr>
        <w:spacing w:line="420" w:lineRule="exact"/>
        <w:rPr>
          <w:rFonts w:hint="eastAsia" w:ascii="仿宋" w:hAnsi="仿宋" w:eastAsia="仿宋" w:cs="仿宋"/>
          <w:color w:val="auto"/>
          <w:sz w:val="24"/>
          <w:highlight w:val="none"/>
          <w:lang w:val="en-US" w:eastAsia="zh-CN"/>
        </w:rPr>
      </w:pPr>
    </w:p>
    <w:p w14:paraId="4AF96027">
      <w:pP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br w:type="page"/>
      </w:r>
    </w:p>
    <w:p w14:paraId="7190F5D5">
      <w:pPr>
        <w:pStyle w:val="6"/>
        <w:ind w:left="0" w:leftChars="0" w:firstLine="0" w:firstLineChars="0"/>
        <w:rPr>
          <w:rFonts w:hint="default"/>
          <w:lang w:val="en-US" w:eastAsia="zh-CN"/>
        </w:rPr>
      </w:pPr>
    </w:p>
    <w:p w14:paraId="4A3B268D">
      <w:pPr>
        <w:pStyle w:val="6"/>
        <w:ind w:left="0" w:leftChars="0" w:firstLine="0" w:firstLineChars="0"/>
        <w:rPr>
          <w:rFonts w:hint="default"/>
          <w:lang w:val="en-US" w:eastAsia="zh-CN"/>
        </w:rPr>
      </w:pPr>
    </w:p>
    <w:p w14:paraId="41F9731B">
      <w:pPr>
        <w:spacing w:line="420" w:lineRule="exact"/>
        <w:rPr>
          <w:rFonts w:hint="eastAsia" w:ascii="仿宋" w:hAnsi="仿宋" w:eastAsia="仿宋" w:cs="仿宋"/>
          <w:color w:val="auto"/>
          <w:sz w:val="24"/>
          <w:highlight w:val="none"/>
          <w:lang w:val="en-US" w:eastAsia="zh-CN"/>
        </w:rPr>
      </w:pPr>
      <w:bookmarkStart w:id="97" w:name="_Toc30612"/>
      <w:bookmarkStart w:id="98" w:name="_Toc8837"/>
      <w:bookmarkStart w:id="99" w:name="_Toc32329"/>
      <w:bookmarkStart w:id="100" w:name="_Toc21746"/>
      <w:bookmarkStart w:id="101" w:name="_Toc49932975"/>
      <w:r>
        <w:rPr>
          <w:rFonts w:hint="eastAsia" w:ascii="仿宋" w:hAnsi="仿宋" w:eastAsia="仿宋" w:cs="仿宋"/>
          <w:color w:val="auto"/>
          <w:sz w:val="24"/>
          <w:highlight w:val="none"/>
          <w:lang w:val="en-US" w:eastAsia="zh-CN"/>
        </w:rPr>
        <w:t>附件五：</w:t>
      </w:r>
      <w:bookmarkEnd w:id="97"/>
      <w:r>
        <w:rPr>
          <w:rFonts w:hint="eastAsia" w:ascii="仿宋" w:hAnsi="仿宋" w:eastAsia="仿宋" w:cs="仿宋"/>
          <w:color w:val="auto"/>
          <w:sz w:val="24"/>
          <w:highlight w:val="none"/>
          <w:lang w:val="en-US" w:eastAsia="zh-CN"/>
        </w:rPr>
        <w:t xml:space="preserve">      采购管理（工程、物资、服务）廉洁协议书</w:t>
      </w:r>
      <w:bookmarkEnd w:id="98"/>
      <w:bookmarkEnd w:id="99"/>
      <w:bookmarkEnd w:id="100"/>
      <w:bookmarkEnd w:id="101"/>
    </w:p>
    <w:p w14:paraId="0EB31F94">
      <w:pPr>
        <w:spacing w:line="420" w:lineRule="exact"/>
        <w:rPr>
          <w:rFonts w:hint="eastAsia" w:ascii="仿宋" w:hAnsi="仿宋" w:eastAsia="仿宋" w:cs="仿宋"/>
          <w:color w:val="auto"/>
          <w:sz w:val="24"/>
          <w:highlight w:val="none"/>
          <w:lang w:val="en-US" w:eastAsia="zh-CN"/>
        </w:rPr>
      </w:pPr>
    </w:p>
    <w:p w14:paraId="27D4320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                  （以下简称甲方）</w:t>
      </w:r>
    </w:p>
    <w:p w14:paraId="6295CD8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                    （以下简称乙方）</w:t>
      </w:r>
    </w:p>
    <w:p w14:paraId="518FD78F">
      <w:pPr>
        <w:spacing w:line="420" w:lineRule="exact"/>
        <w:rPr>
          <w:rFonts w:hint="eastAsia" w:ascii="仿宋" w:hAnsi="仿宋" w:eastAsia="仿宋" w:cs="仿宋"/>
          <w:color w:val="auto"/>
          <w:sz w:val="24"/>
          <w:highlight w:val="none"/>
          <w:lang w:val="en-US" w:eastAsia="zh-CN"/>
        </w:rPr>
      </w:pPr>
    </w:p>
    <w:p w14:paraId="2DC1341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为加强采购管理（工程、物资、服务）中的廉洁建设，维护市场秩序，防止发生各种谋取不正当利益的违法违纪行为，保障甲、乙双方的合法权益，双方签订本协议：</w:t>
      </w:r>
    </w:p>
    <w:p w14:paraId="0B4E1D3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第一条  双方必须遵循的原则</w:t>
      </w:r>
    </w:p>
    <w:p w14:paraId="33D85D9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一、自觉遵守国家、地方法律法规以及本协议的约定，在开展采购业务、合同订立、合同履行过程中廉洁自律。</w:t>
      </w:r>
    </w:p>
    <w:p w14:paraId="0DADE768">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二、严格遵守廉洁自律的各项规定，坚持公开、公平、公正、诚信和透明的原则（除法律法规中另有规定者外），不得以获取不正当的利益，损害国家、出资人和甲、乙双方利益。</w:t>
      </w:r>
    </w:p>
    <w:p w14:paraId="0BF3CCB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三、甲、乙双方应对工作人员进行廉洁从业教育，使其诚信守法、行为规范。</w:t>
      </w:r>
    </w:p>
    <w:p w14:paraId="610EC28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四、发现对方有关人员在采购管理过程中有违规、违纪和违法行为的，应及时提醒告诫，情节严重的，应向有关部门或纪检监察、司法等有关机构举报。</w:t>
      </w:r>
    </w:p>
    <w:p w14:paraId="1B27CB3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第二条  甲方的责任</w:t>
      </w:r>
    </w:p>
    <w:p w14:paraId="5616A6B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甲方的领导和从事与本采购管理活动有关的工作人员，在采购管理的事前、事中、事后应遵守以下约定：</w:t>
      </w:r>
    </w:p>
    <w:p w14:paraId="7616293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一、不得向乙方索要或接受礼金、有价证券、贵重物品、微信红包、电子商券、回扣、好处费和感谢费等。</w:t>
      </w:r>
    </w:p>
    <w:p w14:paraId="6C7FCCF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二、不得私自与乙方建立任何形式的借款和租赁关系。</w:t>
      </w:r>
    </w:p>
    <w:p w14:paraId="5EB6B9E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三、不得以甲方名义为乙方提供担保、私自超范围使用公章。</w:t>
      </w:r>
    </w:p>
    <w:p w14:paraId="6684AE8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四、不得在乙方报销或索取任何应由甲方或甲方个人支付的费用。</w:t>
      </w:r>
    </w:p>
    <w:p w14:paraId="0FDAE4D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五、不得要求、暗示和接受乙方为其装修住房、婚丧嫁娶、配偶子女从事营利性活动、出国（境）和旅游等提供便利和优惠。</w:t>
      </w:r>
    </w:p>
    <w:p w14:paraId="5ECB72A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六、不得参加乙方主办的影响公正履行合同和职责的宴请、健身和娱乐等活动。</w:t>
      </w:r>
    </w:p>
    <w:p w14:paraId="78D7386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七、不得要求乙方提供住房、车辆或加油卡用于个人使用。</w:t>
      </w:r>
    </w:p>
    <w:p w14:paraId="7154AA0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第三条  乙方的责任</w:t>
      </w:r>
    </w:p>
    <w:p w14:paraId="1605553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与甲方保持正常的工作交往，按照相关法律、法规和程序开展工作，严格执行建设工程的强制性标准和规范，并遵守以下约定：</w:t>
      </w:r>
    </w:p>
    <w:p w14:paraId="0FB1652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一、不得以任何理由向甲方和相关单位或领导及工作人员赠送礼金、有价证券、贵重物品、烟酒土特产、微信红包、电子商券、回扣、好处费和感谢费等。</w:t>
      </w:r>
    </w:p>
    <w:p w14:paraId="5FD9AC4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二、不得以任何理由为甲方和相关单位或领导及工作人员报销和处理应由甲方或甲方个人支付的费用。</w:t>
      </w:r>
    </w:p>
    <w:p w14:paraId="5E4ED8D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三、不得提出或暗示为甲方和相关单位或领导及工作人员装修住房、婚丧嫁娶、配偶子女从事营利性活动、出国（境）和旅游等提供便利和优惠。</w:t>
      </w:r>
    </w:p>
    <w:p w14:paraId="76F67F4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四、不得以任何理由为甲方和相关单位或领导及工作人员组织影响公正履行合同和职责的宴请、健身和娱乐等活动。</w:t>
      </w:r>
    </w:p>
    <w:p w14:paraId="619D38A6">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五、不得以任何理由为甲方和相关单位或领导及工作人员有偿或无偿提供住房、车辆用于个人使用，或赠送加油卡。</w:t>
      </w:r>
    </w:p>
    <w:p w14:paraId="1B08495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第四条  违约责任</w:t>
      </w:r>
    </w:p>
    <w:p w14:paraId="5898F39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一、甲方若违反本协议书第一、二条行为的，按照管理权限，由甲方依据有关规定分别给予相关领导和责任人经济处罚、组织处理和纪律处分；涉嫌犯罪的，移交司法机关追究刑事责任。</w:t>
      </w:r>
    </w:p>
    <w:p w14:paraId="6A57A56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二、乙方若违反本协议书第一、三条行为的，根据情节承担以下违约责任：</w:t>
      </w:r>
    </w:p>
    <w:p w14:paraId="6B09668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1.情节轻微的，向甲方支付违约金0.2万-2万，同时由相应的系统管理部门约谈提醒。</w:t>
      </w:r>
    </w:p>
    <w:p w14:paraId="159A6C8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2.情节较重的，向甲方支付违约金2万-5万，同时由甲方纪检部门约谈提醒。</w:t>
      </w:r>
    </w:p>
    <w:p w14:paraId="29CAECD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3.情节严重的，向甲方支付违约金5万元以上直至没收履约保证金，并承担相应的法律责任，同时取消其合格供应商资格，列入黑名单。</w:t>
      </w:r>
    </w:p>
    <w:p w14:paraId="3CD13A6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4.给甲方造成信誉损害或经济损失的，应承担赔偿责任。</w:t>
      </w:r>
    </w:p>
    <w:p w14:paraId="618473AE">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第五条  附则</w:t>
      </w:r>
    </w:p>
    <w:p w14:paraId="50B27EA7">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一、本协议书作为采购（工程、物资、服务）合同的必备附件，与采购（工程、物资、服务）合同具有同等法律效力。</w:t>
      </w:r>
    </w:p>
    <w:p w14:paraId="0D174AA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二、经双方签章后与采购（工程、物资、服务）合同同时生效。</w:t>
      </w:r>
    </w:p>
    <w:p w14:paraId="772A55BF">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三、本协议书一式两份，其中甲方执一份，乙方执一份；</w:t>
      </w:r>
    </w:p>
    <w:p w14:paraId="2A4F41D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四、其他需要甲、乙双方协商事宜：</w:t>
      </w:r>
    </w:p>
    <w:p w14:paraId="1462A22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1.甲、乙双方同意在本年度同类合作中，本次所签“廉洁协议书”继续有效。</w:t>
      </w:r>
    </w:p>
    <w:p w14:paraId="2BF6F2DC">
      <w:pPr>
        <w:spacing w:line="420" w:lineRule="exact"/>
        <w:rPr>
          <w:rFonts w:hint="eastAsia" w:ascii="仿宋" w:hAnsi="仿宋" w:eastAsia="仿宋" w:cs="仿宋"/>
          <w:color w:val="auto"/>
          <w:sz w:val="24"/>
          <w:highlight w:val="none"/>
          <w:lang w:val="en-US" w:eastAsia="zh-CN"/>
        </w:rPr>
      </w:pPr>
    </w:p>
    <w:p w14:paraId="7C1A0BCB">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甲方（盖章）：                   乙方（盖章）：</w:t>
      </w:r>
    </w:p>
    <w:p w14:paraId="33273B19">
      <w:pPr>
        <w:spacing w:line="420" w:lineRule="exact"/>
        <w:rPr>
          <w:rFonts w:hint="eastAsia" w:ascii="仿宋" w:hAnsi="仿宋" w:eastAsia="仿宋" w:cs="仿宋"/>
          <w:color w:val="auto"/>
          <w:sz w:val="24"/>
          <w:highlight w:val="none"/>
          <w:lang w:val="en-US" w:eastAsia="zh-CN"/>
        </w:rPr>
      </w:pPr>
    </w:p>
    <w:p w14:paraId="288B971A">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法定代表人（签章）：             法定代表人（签章）：</w:t>
      </w:r>
    </w:p>
    <w:p w14:paraId="39657252">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或                               或</w:t>
      </w:r>
    </w:p>
    <w:p w14:paraId="7028AA2C">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委托代理人（签章）：             委托代理人（签章）：</w:t>
      </w:r>
    </w:p>
    <w:p w14:paraId="1A62C7B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签订时间：     年   月   日</w:t>
      </w:r>
    </w:p>
    <w:p w14:paraId="363A34EB">
      <w:pPr>
        <w:spacing w:line="420" w:lineRule="exact"/>
        <w:rPr>
          <w:rFonts w:hint="eastAsia" w:ascii="仿宋" w:hAnsi="仿宋" w:eastAsia="仿宋" w:cs="仿宋"/>
          <w:color w:val="auto"/>
          <w:sz w:val="24"/>
          <w:highlight w:val="none"/>
          <w:lang w:val="en-US" w:eastAsia="zh-CN"/>
        </w:rPr>
      </w:pPr>
    </w:p>
    <w:p w14:paraId="4B50B72A">
      <w:pPr>
        <w:spacing w:line="420" w:lineRule="exact"/>
        <w:rPr>
          <w:rFonts w:hint="eastAsia" w:ascii="仿宋" w:hAnsi="仿宋" w:eastAsia="仿宋" w:cs="仿宋"/>
          <w:color w:val="auto"/>
          <w:sz w:val="24"/>
          <w:highlight w:val="none"/>
          <w:lang w:val="en-US" w:eastAsia="zh-CN"/>
        </w:rPr>
      </w:pPr>
    </w:p>
    <w:p w14:paraId="4CA36DCB">
      <w:pPr>
        <w:spacing w:line="420" w:lineRule="exact"/>
        <w:rPr>
          <w:rFonts w:hint="eastAsia" w:ascii="仿宋" w:hAnsi="仿宋" w:eastAsia="仿宋" w:cs="仿宋"/>
          <w:color w:val="auto"/>
          <w:sz w:val="24"/>
          <w:highlight w:val="none"/>
          <w:lang w:val="en-US" w:eastAsia="zh-CN"/>
        </w:rPr>
      </w:pPr>
    </w:p>
    <w:p w14:paraId="0409C49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br w:type="page"/>
      </w:r>
      <w:bookmarkStart w:id="102" w:name="_Toc32019"/>
      <w:bookmarkStart w:id="103" w:name="_Toc29507"/>
      <w:bookmarkStart w:id="104" w:name="_Toc49929319"/>
      <w:bookmarkStart w:id="105" w:name="_Toc669"/>
      <w:bookmarkStart w:id="106" w:name="_Toc49929200"/>
      <w:bookmarkStart w:id="107" w:name="_Toc28815"/>
      <w:r>
        <w:rPr>
          <w:rFonts w:hint="eastAsia" w:ascii="仿宋" w:hAnsi="仿宋" w:eastAsia="仿宋" w:cs="仿宋"/>
          <w:color w:val="auto"/>
          <w:sz w:val="24"/>
          <w:highlight w:val="none"/>
          <w:lang w:val="en-US" w:eastAsia="zh-CN"/>
        </w:rPr>
        <w:t>附件六：</w:t>
      </w:r>
      <w:bookmarkEnd w:id="102"/>
      <w:r>
        <w:rPr>
          <w:rFonts w:hint="eastAsia" w:ascii="仿宋" w:hAnsi="仿宋" w:eastAsia="仿宋" w:cs="仿宋"/>
          <w:color w:val="auto"/>
          <w:sz w:val="24"/>
          <w:highlight w:val="none"/>
          <w:lang w:val="en-US" w:eastAsia="zh-CN"/>
        </w:rPr>
        <w:t xml:space="preserve">       </w:t>
      </w:r>
      <w:bookmarkEnd w:id="103"/>
      <w:bookmarkEnd w:id="104"/>
      <w:bookmarkEnd w:id="105"/>
      <w:bookmarkEnd w:id="106"/>
      <w:bookmarkEnd w:id="107"/>
    </w:p>
    <w:p w14:paraId="3811CB77">
      <w:pPr>
        <w:spacing w:line="420" w:lineRule="exact"/>
        <w:jc w:val="cente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不拖欠民工工资承诺书</w:t>
      </w:r>
    </w:p>
    <w:p w14:paraId="2AD98724">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致四川定弘邦路桥工程有限公司：</w:t>
      </w:r>
    </w:p>
    <w:p w14:paraId="239B836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根据《中华人民共和国民法典》、《中华人民共和国建筑法》及国家、省市关于安全生产的有关法规规章的要求，为贯彻国务院关于杜绝拖欠民工工资的指示精神，保证主合同工程项目施工的顺利进行，确保本工程建设质量和进度，本人作为乙方法定代表人向贵司承诺：</w:t>
      </w:r>
    </w:p>
    <w:p w14:paraId="0F7EC52D">
      <w:pPr>
        <w:spacing w:line="420" w:lineRule="exact"/>
        <w:rPr>
          <w:rFonts w:hint="eastAsia" w:ascii="仿宋" w:hAnsi="仿宋" w:eastAsia="仿宋" w:cs="仿宋"/>
          <w:color w:val="auto"/>
          <w:sz w:val="24"/>
          <w:highlight w:val="none"/>
          <w:lang w:val="en-US" w:eastAsia="zh-CN"/>
        </w:rPr>
      </w:pPr>
      <w:bookmarkStart w:id="108" w:name="_Toc6328"/>
      <w:bookmarkStart w:id="109" w:name="_Toc14701"/>
      <w:bookmarkStart w:id="110" w:name="_Toc4161"/>
      <w:bookmarkStart w:id="111" w:name="_Toc24265"/>
      <w:r>
        <w:rPr>
          <w:rFonts w:hint="eastAsia" w:ascii="仿宋" w:hAnsi="仿宋" w:eastAsia="仿宋" w:cs="仿宋"/>
          <w:color w:val="auto"/>
          <w:sz w:val="24"/>
          <w:highlight w:val="none"/>
          <w:lang w:val="en-US" w:eastAsia="zh-CN"/>
        </w:rPr>
        <w:t xml:space="preserve">    1.本公司保证每月28日前及时足额支付施工人员当月工资，不以任何借口拖延，并接受贵司的监督和检查。</w:t>
      </w:r>
      <w:bookmarkEnd w:id="108"/>
      <w:bookmarkEnd w:id="109"/>
      <w:bookmarkEnd w:id="110"/>
      <w:bookmarkEnd w:id="111"/>
    </w:p>
    <w:p w14:paraId="6B7160A5">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2.贵司一经发现我司存在拖欠参加本工程项目施工的民工工资的行为，本公司保证将无条件筹集资金立即发放所拖欠的民工工资，并愿意接受贵司的任何针对性的惩罚措施。</w:t>
      </w:r>
    </w:p>
    <w:p w14:paraId="2001D389">
      <w:pPr>
        <w:spacing w:line="420" w:lineRule="exact"/>
        <w:rPr>
          <w:rFonts w:hint="eastAsia" w:ascii="仿宋" w:hAnsi="仿宋" w:eastAsia="仿宋" w:cs="仿宋"/>
          <w:color w:val="auto"/>
          <w:sz w:val="24"/>
          <w:highlight w:val="none"/>
          <w:lang w:val="en-US" w:eastAsia="zh-CN"/>
        </w:rPr>
      </w:pPr>
      <w:bookmarkStart w:id="112" w:name="_Toc28513"/>
      <w:bookmarkStart w:id="113" w:name="_Toc22334"/>
      <w:bookmarkStart w:id="114" w:name="_Toc18611"/>
      <w:bookmarkStart w:id="115" w:name="_Toc13213"/>
      <w:r>
        <w:rPr>
          <w:rFonts w:hint="eastAsia" w:ascii="仿宋" w:hAnsi="仿宋" w:eastAsia="仿宋" w:cs="仿宋"/>
          <w:color w:val="auto"/>
          <w:sz w:val="24"/>
          <w:highlight w:val="none"/>
          <w:lang w:val="en-US" w:eastAsia="zh-CN"/>
        </w:rPr>
        <w:t xml:space="preserve">    3. 本公司承诺一旦发生拖欠民工工资的情况，本公司将无条件接受贵司代扣本工程项目的进度款直接支付给民工的决定，并对由此造成的一切后果承担全部责任。</w:t>
      </w:r>
      <w:bookmarkEnd w:id="112"/>
      <w:bookmarkEnd w:id="113"/>
      <w:bookmarkEnd w:id="114"/>
      <w:bookmarkEnd w:id="115"/>
    </w:p>
    <w:p w14:paraId="3183BC90">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4.本承诺书自本公司签字并加盖公章后生效，主合同有效期满结束。</w:t>
      </w:r>
    </w:p>
    <w:p w14:paraId="36CD4D58">
      <w:pPr>
        <w:spacing w:line="420" w:lineRule="exact"/>
        <w:rPr>
          <w:rFonts w:hint="eastAsia" w:ascii="仿宋" w:hAnsi="仿宋" w:eastAsia="仿宋" w:cs="仿宋"/>
          <w:color w:val="auto"/>
          <w:sz w:val="24"/>
          <w:highlight w:val="none"/>
          <w:lang w:val="en-US" w:eastAsia="zh-CN"/>
        </w:rPr>
      </w:pPr>
    </w:p>
    <w:p w14:paraId="1B8A2B4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承诺人（盖章）：</w:t>
      </w:r>
    </w:p>
    <w:p w14:paraId="4AC04331">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法定代表人（签章）：</w:t>
      </w:r>
    </w:p>
    <w:p w14:paraId="5053CA93">
      <w:pPr>
        <w:spacing w:line="420" w:lineRule="exac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日期：    年   月  日</w:t>
      </w:r>
    </w:p>
    <w:p w14:paraId="72056A8F">
      <w:pPr>
        <w:spacing w:line="420" w:lineRule="exact"/>
        <w:rPr>
          <w:rFonts w:hint="eastAsia" w:ascii="仿宋" w:hAnsi="仿宋" w:eastAsia="仿宋" w:cs="仿宋"/>
          <w:color w:val="auto"/>
          <w:sz w:val="24"/>
          <w:highlight w:val="none"/>
          <w:lang w:val="en-US" w:eastAsia="zh-CN"/>
        </w:rPr>
      </w:pPr>
    </w:p>
    <w:p w14:paraId="575DD51E">
      <w:pPr>
        <w:spacing w:line="420" w:lineRule="exact"/>
        <w:rPr>
          <w:rFonts w:hint="eastAsia" w:ascii="仿宋" w:hAnsi="仿宋" w:eastAsia="仿宋" w:cs="仿宋"/>
          <w:color w:val="auto"/>
          <w:sz w:val="24"/>
          <w:highlight w:val="none"/>
          <w:lang w:val="en-US" w:eastAsia="zh-CN"/>
        </w:rPr>
      </w:pPr>
    </w:p>
    <w:p w14:paraId="52094C86">
      <w:pPr>
        <w:spacing w:line="420" w:lineRule="exact"/>
        <w:rPr>
          <w:rFonts w:hint="eastAsia" w:ascii="仿宋" w:hAnsi="仿宋" w:eastAsia="仿宋" w:cs="仿宋"/>
          <w:color w:val="auto"/>
          <w:sz w:val="24"/>
          <w:highlight w:val="none"/>
          <w:lang w:val="en-US" w:eastAsia="zh-CN"/>
        </w:rPr>
      </w:pPr>
    </w:p>
    <w:p w14:paraId="3665A432">
      <w:pPr>
        <w:rPr>
          <w:rFonts w:hint="eastAsia" w:ascii="仿宋" w:hAnsi="仿宋" w:eastAsia="仿宋" w:cs="仿宋"/>
        </w:rPr>
      </w:pPr>
    </w:p>
    <w:p w14:paraId="5A7547E7"/>
    <w:p w14:paraId="0DD3AC25"/>
    <w:sectPr>
      <w:headerReference r:id="rId3" w:type="default"/>
      <w:footerReference r:id="rId4" w:type="default"/>
      <w:pgSz w:w="11850" w:h="16783"/>
      <w:pgMar w:top="1417" w:right="1134" w:bottom="1417" w:left="1134"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E462E">
    <w:pPr>
      <w:pStyle w:val="7"/>
      <w:jc w:val="center"/>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97493A">
                          <w:pPr>
                            <w:pStyle w:val="7"/>
                          </w:pPr>
                          <w:r>
                            <w:t xml:space="preserve">第 </w:t>
                          </w:r>
                          <w:r>
                            <w:fldChar w:fldCharType="begin"/>
                          </w:r>
                          <w:r>
                            <w:instrText xml:space="preserve"> PAGE  \* MERGEFORMAT </w:instrText>
                          </w:r>
                          <w:r>
                            <w:fldChar w:fldCharType="separate"/>
                          </w:r>
                          <w:r>
                            <w:t>- 72 -</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3197493A">
                    <w:pPr>
                      <w:pStyle w:val="7"/>
                    </w:pPr>
                    <w:r>
                      <w:t xml:space="preserve">第 </w:t>
                    </w:r>
                    <w:r>
                      <w:fldChar w:fldCharType="begin"/>
                    </w:r>
                    <w:r>
                      <w:instrText xml:space="preserve"> PAGE  \* MERGEFORMAT </w:instrText>
                    </w:r>
                    <w:r>
                      <w:fldChar w:fldCharType="separate"/>
                    </w:r>
                    <w:r>
                      <w:t>- 72 -</w:t>
                    </w:r>
                    <w:r>
                      <w:fldChar w:fldCharType="end"/>
                    </w:r>
                    <w:r>
                      <w:t xml:space="preserve"> 页</w:t>
                    </w:r>
                  </w:p>
                </w:txbxContent>
              </v:textbox>
            </v:shape>
          </w:pict>
        </mc:Fallback>
      </mc:AlternateContent>
    </w:r>
  </w:p>
  <w:p w14:paraId="35E9D104">
    <w:pPr>
      <w:pStyle w:val="7"/>
      <w:ind w:right="360" w:firstLine="360"/>
      <w:jc w:val="cente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394D8">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F6A2CD"/>
    <w:multiLevelType w:val="singleLevel"/>
    <w:tmpl w:val="54F6A2CD"/>
    <w:lvl w:ilvl="0" w:tentative="0">
      <w:start w:val="9"/>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0C5E26"/>
    <w:rsid w:val="0D285C16"/>
    <w:rsid w:val="0F2D7CFC"/>
    <w:rsid w:val="14D05AA2"/>
    <w:rsid w:val="14ED08F4"/>
    <w:rsid w:val="2D840DF0"/>
    <w:rsid w:val="400C71DC"/>
    <w:rsid w:val="5C7B1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style>
  <w:style w:type="paragraph" w:styleId="6">
    <w:name w:val="Body Text First Indent"/>
    <w:basedOn w:val="5"/>
    <w:unhideWhenUsed/>
    <w:qFormat/>
    <w:uiPriority w:val="99"/>
    <w:pPr>
      <w:ind w:firstLine="420" w:firstLineChars="100"/>
    </w:pPr>
  </w:style>
  <w:style w:type="paragraph" w:styleId="7">
    <w:name w:val="footer"/>
    <w:basedOn w:val="1"/>
    <w:next w:val="1"/>
    <w:qFormat/>
    <w:uiPriority w:val="0"/>
    <w:pPr>
      <w:tabs>
        <w:tab w:val="center" w:pos="4153"/>
        <w:tab w:val="right" w:pos="8306"/>
      </w:tabs>
      <w:snapToGrid w:val="0"/>
      <w:jc w:val="left"/>
    </w:pPr>
    <w:rPr>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customStyle="1" w:styleId="11">
    <w:name w:val="样式 首行缩进:  2 字符"/>
    <w:basedOn w:val="1"/>
    <w:qFormat/>
    <w:uiPriority w:val="0"/>
    <w:pPr>
      <w:spacing w:line="400" w:lineRule="exact"/>
      <w:ind w:firstLine="200" w:firstLineChars="20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14700</Words>
  <Characters>15199</Characters>
  <Lines>0</Lines>
  <Paragraphs>0</Paragraphs>
  <TotalTime>23</TotalTime>
  <ScaleCrop>false</ScaleCrop>
  <LinksUpToDate>false</LinksUpToDate>
  <CharactersWithSpaces>16951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2025-03-07T08:03:00Z</dcterms:created>
  <dc:creator>Administrator</dc:creator>
  <cp:lastModifiedBy>小毅哥</cp:lastModifiedBy>
  <cp:lastPrinted>2025-03-12T08:20:51Z</cp:lastPrinted>
  <dcterms:modified xsi:type="dcterms:W3CDTF">2025-03-12T08:43:58Z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KSOTemplateDocerSaveRecord">
    <vt:lpwstr>eyJoZGlkIjoiOTc3M2Y5NzIzMDFlZjAyY2Q4Njk5ODkyYjFjNzBiNTQiLCJ1c2VySWQiOiIxMjgzMjk3NjUxIn0=</vt:lpwstr>
  </property>
  <property fmtid="{D5CDD505-2E9C-101B-9397-08002B2CF9AE}" pid="4" name="ICV">
    <vt:lpwstr>BD9547D8AAF54F57A3864DFA3ECED055_12</vt:lpwstr>
  </property>
</Properties>
</file>