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7E6B7">
      <w:pPr>
        <w:ind w:firstLine="5320" w:firstLineChars="1900"/>
        <w:jc w:val="left"/>
        <w:rPr>
          <w:rFonts w:hint="eastAsia" w:asciiTheme="minorEastAsia" w:hAnsiTheme="minorEastAsia" w:eastAsiaTheme="minorEastAsia" w:cstheme="minorEastAsia"/>
          <w:sz w:val="28"/>
          <w:szCs w:val="28"/>
          <w:lang w:eastAsia="zh-CN"/>
        </w:rPr>
      </w:pPr>
    </w:p>
    <w:p w14:paraId="3A005B6F">
      <w:pPr>
        <w:ind w:firstLine="5320" w:firstLineChars="19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合同编号：</w:t>
      </w:r>
    </w:p>
    <w:p w14:paraId="200A6B3C">
      <w:pPr>
        <w:ind w:firstLine="5670" w:firstLineChars="2700"/>
        <w:rPr>
          <w:rFonts w:hint="eastAsia"/>
          <w:lang w:eastAsia="zh-CN"/>
        </w:rPr>
      </w:pPr>
    </w:p>
    <w:p w14:paraId="7AF56551">
      <w:pPr>
        <w:ind w:firstLine="5670" w:firstLineChars="2700"/>
        <w:rPr>
          <w:rFonts w:hint="eastAsia"/>
          <w:lang w:eastAsia="zh-CN"/>
        </w:rPr>
      </w:pPr>
    </w:p>
    <w:p w14:paraId="47B50E4C">
      <w:pPr>
        <w:ind w:firstLine="5670" w:firstLineChars="2700"/>
        <w:rPr>
          <w:rFonts w:hint="eastAsia"/>
          <w:lang w:eastAsia="zh-CN"/>
        </w:rPr>
      </w:pPr>
    </w:p>
    <w:p w14:paraId="354D3A03">
      <w:pPr>
        <w:ind w:firstLine="5670" w:firstLineChars="2700"/>
        <w:rPr>
          <w:rFonts w:hint="eastAsia"/>
          <w:lang w:eastAsia="zh-CN"/>
        </w:rPr>
      </w:pPr>
    </w:p>
    <w:p w14:paraId="3BF6835F">
      <w:pPr>
        <w:ind w:firstLine="5670" w:firstLineChars="2700"/>
        <w:rPr>
          <w:rFonts w:hint="eastAsia"/>
          <w:lang w:eastAsia="zh-CN"/>
        </w:rPr>
      </w:pPr>
    </w:p>
    <w:p w14:paraId="7645E531">
      <w:pPr>
        <w:ind w:firstLine="5670" w:firstLineChars="2700"/>
        <w:rPr>
          <w:rFonts w:hint="eastAsia"/>
          <w:lang w:eastAsia="zh-CN"/>
        </w:rPr>
      </w:pPr>
    </w:p>
    <w:p w14:paraId="5231E7F8">
      <w:pPr>
        <w:ind w:firstLine="5670" w:firstLineChars="2700"/>
        <w:rPr>
          <w:rFonts w:hint="eastAsia"/>
          <w:lang w:eastAsia="zh-CN"/>
        </w:rPr>
      </w:pPr>
    </w:p>
    <w:p w14:paraId="67616B93">
      <w:pPr>
        <w:jc w:val="center"/>
        <w:rPr>
          <w:rFonts w:hint="eastAsia"/>
          <w:sz w:val="44"/>
          <w:szCs w:val="44"/>
          <w:lang w:eastAsia="zh-CN"/>
        </w:rPr>
      </w:pPr>
      <w:r>
        <w:rPr>
          <w:rFonts w:hint="eastAsia"/>
          <w:sz w:val="44"/>
          <w:szCs w:val="44"/>
          <w:lang w:val="en-US" w:eastAsia="zh-CN"/>
        </w:rPr>
        <w:t>广汉市建筑建材加工厂及配套设施项目</w:t>
      </w:r>
      <w:r>
        <w:rPr>
          <w:rFonts w:hint="eastAsia"/>
          <w:sz w:val="44"/>
          <w:szCs w:val="44"/>
          <w:lang w:eastAsia="zh-CN"/>
        </w:rPr>
        <w:t>环境影响</w:t>
      </w:r>
    </w:p>
    <w:p w14:paraId="2BFCC6C1">
      <w:pPr>
        <w:jc w:val="center"/>
        <w:rPr>
          <w:rFonts w:hint="eastAsia"/>
          <w:sz w:val="44"/>
          <w:szCs w:val="44"/>
          <w:lang w:eastAsia="zh-CN"/>
        </w:rPr>
      </w:pPr>
      <w:bookmarkStart w:id="0" w:name="_GoBack"/>
      <w:bookmarkEnd w:id="0"/>
      <w:r>
        <w:rPr>
          <w:rFonts w:hint="eastAsia"/>
          <w:sz w:val="44"/>
          <w:szCs w:val="44"/>
          <w:lang w:eastAsia="zh-CN"/>
        </w:rPr>
        <w:t>评价咨询服务（第二次）合同</w:t>
      </w:r>
    </w:p>
    <w:p w14:paraId="1AEEE8CE">
      <w:pPr>
        <w:jc w:val="center"/>
        <w:rPr>
          <w:rFonts w:hint="eastAsia"/>
          <w:sz w:val="44"/>
          <w:szCs w:val="44"/>
          <w:lang w:eastAsia="zh-CN"/>
        </w:rPr>
      </w:pPr>
    </w:p>
    <w:p w14:paraId="271BC09E">
      <w:pPr>
        <w:jc w:val="center"/>
        <w:rPr>
          <w:rFonts w:hint="eastAsia"/>
          <w:sz w:val="44"/>
          <w:szCs w:val="44"/>
          <w:lang w:eastAsia="zh-CN"/>
        </w:rPr>
      </w:pPr>
    </w:p>
    <w:p w14:paraId="24E2B881">
      <w:pPr>
        <w:jc w:val="center"/>
        <w:rPr>
          <w:rFonts w:hint="default"/>
          <w:sz w:val="44"/>
          <w:szCs w:val="44"/>
          <w:lang w:val="en-US" w:eastAsia="zh-CN"/>
        </w:rPr>
      </w:pPr>
    </w:p>
    <w:p w14:paraId="40FD510B">
      <w:pPr>
        <w:jc w:val="center"/>
        <w:rPr>
          <w:rFonts w:hint="eastAsia"/>
          <w:sz w:val="44"/>
          <w:szCs w:val="44"/>
          <w:lang w:eastAsia="zh-CN"/>
        </w:rPr>
      </w:pPr>
    </w:p>
    <w:p w14:paraId="4A5FD326">
      <w:pPr>
        <w:jc w:val="center"/>
        <w:rPr>
          <w:rFonts w:hint="eastAsia"/>
          <w:sz w:val="44"/>
          <w:szCs w:val="44"/>
          <w:lang w:eastAsia="zh-CN"/>
        </w:rPr>
      </w:pPr>
    </w:p>
    <w:p w14:paraId="282B1298">
      <w:pPr>
        <w:jc w:val="center"/>
        <w:rPr>
          <w:rFonts w:hint="eastAsia"/>
          <w:sz w:val="44"/>
          <w:szCs w:val="44"/>
          <w:lang w:eastAsia="zh-CN"/>
        </w:rPr>
      </w:pPr>
    </w:p>
    <w:p w14:paraId="252E5E66">
      <w:pPr>
        <w:jc w:val="center"/>
        <w:rPr>
          <w:rFonts w:hint="eastAsia"/>
          <w:sz w:val="44"/>
          <w:szCs w:val="44"/>
          <w:lang w:eastAsia="zh-CN"/>
        </w:rPr>
      </w:pPr>
    </w:p>
    <w:p w14:paraId="340E1EEE">
      <w:pPr>
        <w:jc w:val="center"/>
        <w:rPr>
          <w:rFonts w:hint="eastAsia"/>
          <w:sz w:val="44"/>
          <w:szCs w:val="44"/>
          <w:lang w:eastAsia="zh-CN"/>
        </w:rPr>
      </w:pPr>
    </w:p>
    <w:p w14:paraId="094B569A">
      <w:pPr>
        <w:jc w:val="center"/>
        <w:rPr>
          <w:rFonts w:hint="eastAsia"/>
          <w:sz w:val="28"/>
          <w:szCs w:val="28"/>
          <w:lang w:eastAsia="zh-CN"/>
        </w:rPr>
      </w:pPr>
    </w:p>
    <w:p w14:paraId="57A6CC6D">
      <w:pPr>
        <w:jc w:val="left"/>
        <w:rPr>
          <w:rFonts w:hint="eastAsia" w:asciiTheme="minorEastAsia" w:hAnsiTheme="minorEastAsia" w:cstheme="minorEastAsia"/>
          <w:sz w:val="28"/>
          <w:szCs w:val="28"/>
          <w:u w:val="single"/>
          <w:lang w:val="en-US" w:eastAsia="zh-CN"/>
        </w:rPr>
      </w:pPr>
      <w:r>
        <w:rPr>
          <w:rFonts w:hint="eastAsia" w:asciiTheme="minorEastAsia" w:hAnsiTheme="minorEastAsia" w:eastAsiaTheme="minorEastAsia" w:cstheme="minorEastAsia"/>
          <w:sz w:val="28"/>
          <w:szCs w:val="28"/>
          <w:lang w:eastAsia="zh-CN"/>
        </w:rPr>
        <w:t>委托方：</w:t>
      </w:r>
      <w:r>
        <w:rPr>
          <w:rFonts w:hint="eastAsia" w:asciiTheme="minorEastAsia" w:hAnsiTheme="minorEastAsia" w:eastAsiaTheme="minorEastAsia" w:cstheme="minorEastAsia"/>
          <w:sz w:val="28"/>
          <w:szCs w:val="28"/>
          <w:u w:val="single"/>
          <w:lang w:eastAsia="zh-CN"/>
        </w:rPr>
        <w:t xml:space="preserve">  </w:t>
      </w:r>
      <w:r>
        <w:rPr>
          <w:rFonts w:hint="eastAsia" w:asciiTheme="minorEastAsia" w:hAnsiTheme="minorEastAsia" w:cstheme="minorEastAsia"/>
          <w:sz w:val="28"/>
          <w:szCs w:val="28"/>
          <w:u w:val="single"/>
          <w:lang w:val="en-US" w:eastAsia="zh-CN"/>
        </w:rPr>
        <w:t xml:space="preserve">                     （下称甲方）</w:t>
      </w:r>
    </w:p>
    <w:p w14:paraId="6D75D177">
      <w:pPr>
        <w:jc w:val="left"/>
        <w:rPr>
          <w:rFonts w:hint="eastAsia" w:asciiTheme="minorEastAsia" w:hAnsiTheme="minorEastAsia" w:eastAsiaTheme="minorEastAsia" w:cstheme="minorEastAsia"/>
          <w:sz w:val="44"/>
          <w:szCs w:val="44"/>
          <w:lang w:eastAsia="zh-CN"/>
        </w:rPr>
      </w:pPr>
      <w:r>
        <w:rPr>
          <w:rFonts w:hint="eastAsia" w:asciiTheme="minorEastAsia" w:hAnsiTheme="minorEastAsia" w:cstheme="minorEastAsia"/>
          <w:sz w:val="28"/>
          <w:szCs w:val="28"/>
          <w:lang w:val="en-US" w:eastAsia="zh-CN"/>
        </w:rPr>
        <w:t>受托方：</w:t>
      </w:r>
      <w:r>
        <w:rPr>
          <w:rFonts w:hint="eastAsia" w:asciiTheme="minorEastAsia" w:hAnsiTheme="minorEastAsia" w:cstheme="minorEastAsia"/>
          <w:sz w:val="28"/>
          <w:szCs w:val="28"/>
          <w:u w:val="single"/>
          <w:lang w:val="en-US" w:eastAsia="zh-CN"/>
        </w:rPr>
        <w:t xml:space="preserve">                       （下称乙方）</w:t>
      </w: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44"/>
          <w:szCs w:val="44"/>
          <w:lang w:eastAsia="zh-CN"/>
        </w:rPr>
        <w:t xml:space="preserve">  </w:t>
      </w:r>
    </w:p>
    <w:p w14:paraId="5CB00D1C">
      <w:pPr>
        <w:jc w:val="left"/>
        <w:rPr>
          <w:rFonts w:hint="eastAsia" w:asciiTheme="minorEastAsia" w:hAnsiTheme="minorEastAsia" w:eastAsiaTheme="minorEastAsia" w:cstheme="minorEastAsia"/>
          <w:sz w:val="44"/>
          <w:szCs w:val="44"/>
          <w:lang w:eastAsia="zh-CN"/>
        </w:rPr>
      </w:pPr>
    </w:p>
    <w:p w14:paraId="49AE2831">
      <w:pPr>
        <w:jc w:val="left"/>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44"/>
          <w:szCs w:val="44"/>
          <w:lang w:val="en-US" w:eastAsia="zh-CN"/>
        </w:rPr>
        <w:t xml:space="preserve">                </w:t>
      </w:r>
      <w:r>
        <w:rPr>
          <w:rFonts w:hint="eastAsia" w:asciiTheme="minorEastAsia" w:hAnsiTheme="minorEastAsia" w:cstheme="minorEastAsia"/>
          <w:sz w:val="28"/>
          <w:szCs w:val="28"/>
          <w:lang w:val="en-US" w:eastAsia="zh-CN"/>
        </w:rPr>
        <w:t xml:space="preserve"> 年     月     日</w:t>
      </w:r>
      <w:r>
        <w:rPr>
          <w:rFonts w:hint="eastAsia" w:asciiTheme="minorEastAsia" w:hAnsiTheme="minorEastAsia" w:eastAsiaTheme="minorEastAsia" w:cstheme="minorEastAsia"/>
          <w:sz w:val="28"/>
          <w:szCs w:val="28"/>
          <w:lang w:eastAsia="zh-CN"/>
        </w:rPr>
        <w:t xml:space="preserve">   </w:t>
      </w:r>
    </w:p>
    <w:p w14:paraId="7582AE6C">
      <w:pPr>
        <w:jc w:val="left"/>
        <w:rPr>
          <w:rFonts w:hint="eastAsia" w:asciiTheme="minorEastAsia" w:hAnsiTheme="minorEastAsia" w:cstheme="minorEastAsia"/>
          <w:sz w:val="28"/>
          <w:szCs w:val="28"/>
          <w:lang w:val="en-US" w:eastAsia="zh-CN"/>
        </w:rPr>
      </w:pPr>
    </w:p>
    <w:p w14:paraId="56629F2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cstheme="minorEastAsia"/>
          <w:b/>
          <w:bCs/>
          <w:sz w:val="36"/>
          <w:szCs w:val="36"/>
          <w:lang w:val="en-US" w:eastAsia="zh-CN"/>
        </w:rPr>
      </w:pPr>
    </w:p>
    <w:p w14:paraId="7CCCC43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cstheme="minorEastAsia"/>
          <w:b/>
          <w:bCs/>
          <w:sz w:val="36"/>
          <w:szCs w:val="36"/>
          <w:lang w:val="en-US" w:eastAsia="zh-CN"/>
        </w:rPr>
      </w:pPr>
      <w:r>
        <w:rPr>
          <w:rFonts w:hint="eastAsia" w:asciiTheme="minorEastAsia" w:hAnsiTheme="minorEastAsia" w:cstheme="minorEastAsia"/>
          <w:b/>
          <w:bCs/>
          <w:sz w:val="36"/>
          <w:szCs w:val="36"/>
          <w:lang w:val="en-US" w:eastAsia="zh-CN"/>
        </w:rPr>
        <w:t>合同书</w:t>
      </w:r>
    </w:p>
    <w:p w14:paraId="1C44CF0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cstheme="minorEastAsia"/>
          <w:sz w:val="36"/>
          <w:szCs w:val="36"/>
          <w:lang w:val="en-US" w:eastAsia="zh-CN"/>
        </w:rPr>
      </w:pPr>
    </w:p>
    <w:p w14:paraId="6DE7047A">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cstheme="minorEastAsia"/>
          <w:sz w:val="24"/>
          <w:szCs w:val="24"/>
          <w:u w:val="single"/>
          <w:lang w:val="en-US" w:eastAsia="zh-CN"/>
        </w:rPr>
      </w:pPr>
      <w:r>
        <w:rPr>
          <w:rFonts w:hint="eastAsia" w:asciiTheme="minorEastAsia" w:hAnsiTheme="minorEastAsia" w:cstheme="minorEastAsia"/>
          <w:sz w:val="24"/>
          <w:szCs w:val="24"/>
          <w:lang w:val="en-US" w:eastAsia="zh-CN"/>
        </w:rPr>
        <w:t>委托方：</w:t>
      </w:r>
      <w:r>
        <w:rPr>
          <w:rFonts w:hint="eastAsia" w:asciiTheme="minorEastAsia" w:hAnsiTheme="minorEastAsia" w:cstheme="minorEastAsia"/>
          <w:sz w:val="24"/>
          <w:szCs w:val="24"/>
          <w:u w:val="single"/>
          <w:lang w:val="en-US" w:eastAsia="zh-CN"/>
        </w:rPr>
        <w:t xml:space="preserve">                       （下称甲方）</w:t>
      </w:r>
    </w:p>
    <w:p w14:paraId="17668B26">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cstheme="minorEastAsia"/>
          <w:sz w:val="24"/>
          <w:szCs w:val="24"/>
          <w:u w:val="single"/>
          <w:lang w:val="en-US" w:eastAsia="zh-CN"/>
        </w:rPr>
      </w:pPr>
      <w:r>
        <w:rPr>
          <w:rFonts w:hint="eastAsia" w:asciiTheme="minorEastAsia" w:hAnsiTheme="minorEastAsia" w:cstheme="minorEastAsia"/>
          <w:sz w:val="24"/>
          <w:szCs w:val="24"/>
          <w:u w:val="none"/>
          <w:lang w:val="en-US" w:eastAsia="zh-CN"/>
        </w:rPr>
        <w:t>受托方：</w:t>
      </w:r>
      <w:r>
        <w:rPr>
          <w:rFonts w:hint="eastAsia" w:asciiTheme="minorEastAsia" w:hAnsiTheme="minorEastAsia" w:cstheme="minorEastAsia"/>
          <w:sz w:val="24"/>
          <w:szCs w:val="24"/>
          <w:u w:val="single"/>
          <w:lang w:val="en-US" w:eastAsia="zh-CN"/>
        </w:rPr>
        <w:t xml:space="preserve">                       （下称乙方） </w:t>
      </w:r>
    </w:p>
    <w:p w14:paraId="36E9592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cstheme="minorEastAsia"/>
          <w:sz w:val="24"/>
          <w:szCs w:val="24"/>
          <w:u w:val="single"/>
          <w:lang w:val="en-US" w:eastAsia="zh-CN"/>
        </w:rPr>
      </w:pPr>
    </w:p>
    <w:p w14:paraId="179C4767">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受甲方的委托，乙方承担</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的环境影响评价报告的编制工作。根据《中华人民共和国环境影响评价法》、《建设项目环境影响评价分类管理名录》、国家及地方有关环境影响评价的管理法规和规章、委托方提供的资料，甲方项目的环境影响评价形式为环境影响</w:t>
      </w:r>
      <w:r>
        <w:rPr>
          <w:rFonts w:hint="eastAsia" w:asciiTheme="minorEastAsia" w:hAnsiTheme="minorEastAsia" w:cstheme="minorEastAsia"/>
          <w:sz w:val="24"/>
          <w:szCs w:val="24"/>
          <w:u w:val="single"/>
          <w:lang w:val="en-US" w:eastAsia="zh-CN"/>
        </w:rPr>
        <w:t xml:space="preserve"> 报告表 </w:t>
      </w:r>
      <w:r>
        <w:rPr>
          <w:rFonts w:hint="eastAsia" w:asciiTheme="minorEastAsia" w:hAnsiTheme="minorEastAsia" w:cstheme="minorEastAsia"/>
          <w:sz w:val="24"/>
          <w:szCs w:val="24"/>
          <w:u w:val="none"/>
          <w:lang w:val="en-US" w:eastAsia="zh-CN"/>
        </w:rPr>
        <w:t>,该项目环境影响报告在</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进行审批。双方经过平等协商，在真实、公开、平等、自愿的原则基础上，根据《中华人民共和国民法典》及国家和地方有关项目建设的规定，达成如下协议，并由双方共同恪守。</w:t>
      </w:r>
    </w:p>
    <w:p w14:paraId="43550A02">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00" w:lineRule="exact"/>
        <w:ind w:firstLine="482"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b/>
          <w:bCs/>
          <w:sz w:val="24"/>
          <w:szCs w:val="24"/>
          <w:u w:val="none"/>
          <w:lang w:val="en-US" w:eastAsia="zh-CN"/>
        </w:rPr>
        <w:t>一、咨询服务的内容及要求</w:t>
      </w:r>
    </w:p>
    <w:p w14:paraId="3E70D57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乙方受甲方委托，依据项目立项文件上的项目总投资、建设地点、建设内容及规模等，按照国家环境影响评价法律、法规，对该项目进行环境影响评价，分析、预测和评估项目实施后可能造成的环境影响，并提出预防或者减轻不良环境影响的对策和措施。乙方以国家环保部规定的环境影响报告表的形式，向甲方提交项目的环境影响报告表。乙方负责对本项目环境影响报告进行技术答疑，并按评审专家组和主管环境保护部门的意见对本项目环境影响报告进行修改、补充完善，形成报批本文件交由甲方向生态环境局报批并通过审批。</w:t>
      </w:r>
    </w:p>
    <w:p w14:paraId="1DEA943B">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00" w:lineRule="exact"/>
        <w:ind w:firstLine="482" w:firstLineChars="200"/>
        <w:jc w:val="left"/>
        <w:textAlignment w:val="auto"/>
        <w:rPr>
          <w:rFonts w:hint="eastAsia" w:asciiTheme="minorEastAsia" w:hAnsiTheme="minorEastAsia" w:cstheme="minorEastAsia"/>
          <w:b/>
          <w:bCs/>
          <w:sz w:val="24"/>
          <w:szCs w:val="24"/>
          <w:u w:val="none"/>
          <w:lang w:val="en-US" w:eastAsia="zh-CN"/>
        </w:rPr>
      </w:pPr>
      <w:r>
        <w:rPr>
          <w:rFonts w:hint="eastAsia" w:asciiTheme="minorEastAsia" w:hAnsiTheme="minorEastAsia" w:cstheme="minorEastAsia"/>
          <w:b/>
          <w:bCs/>
          <w:sz w:val="24"/>
          <w:szCs w:val="24"/>
          <w:u w:val="none"/>
          <w:lang w:val="en-US" w:eastAsia="zh-CN"/>
        </w:rPr>
        <w:t>二、环评技术咨询费及支付方式</w:t>
      </w:r>
    </w:p>
    <w:p w14:paraId="4294BEF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（一）经甲乙双方协商，本项目环境影响评价技术咨询服务费(含编制费、常规监测费、 专家咨询费、税费等)总额为</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元（大写人民币：</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），其中不含金额为</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 xml:space="preserve">    元（大写：</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），税金为</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元（大写：</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）（税率*%，增值税税率根据国家现行政策执行,只调整税金额度,不调整不含税价款）。</w:t>
      </w:r>
    </w:p>
    <w:p w14:paraId="7C0615E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（二）支付方式</w:t>
      </w:r>
    </w:p>
    <w:p w14:paraId="752EC61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1.开展环境质量现状监测，编制环评报告表，并同步完成规划环评跟踪评价，环评报告经专家评审通过并报送相关审查部门进行评审、验收，取得主管部门审查通过，获取批复文件后，甲方收到前述约定的付款材料后15个工作日内向乙方一次性支付相关费用。</w:t>
      </w:r>
    </w:p>
    <w:p w14:paraId="2A13B0C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2.任一付款条件未完全成就，甲方均有权拒绝付款；每次付款前，乙方需向甲方出具等额合法有效的增值税专用发票。若因乙方原因未及时提供发票或提供发票不合格，甲方支付时间顺延，且不承担迟延支付的违约责任。</w:t>
      </w:r>
    </w:p>
    <w:p w14:paraId="29F2FC88">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00" w:lineRule="exact"/>
        <w:ind w:firstLine="482" w:firstLineChars="200"/>
        <w:jc w:val="left"/>
        <w:textAlignment w:val="auto"/>
        <w:rPr>
          <w:rFonts w:hint="eastAsia" w:asciiTheme="minorEastAsia" w:hAnsiTheme="minorEastAsia" w:cstheme="minorEastAsia"/>
          <w:b/>
          <w:bCs/>
          <w:sz w:val="24"/>
          <w:szCs w:val="24"/>
          <w:u w:val="none"/>
          <w:lang w:val="en-US" w:eastAsia="zh-CN"/>
        </w:rPr>
      </w:pPr>
      <w:r>
        <w:rPr>
          <w:rFonts w:hint="eastAsia" w:asciiTheme="minorEastAsia" w:hAnsiTheme="minorEastAsia" w:cstheme="minorEastAsia"/>
          <w:b/>
          <w:bCs/>
          <w:sz w:val="24"/>
          <w:szCs w:val="24"/>
          <w:u w:val="none"/>
          <w:lang w:val="en-US" w:eastAsia="zh-CN"/>
        </w:rPr>
        <w:t>三、双方责任</w:t>
      </w:r>
    </w:p>
    <w:p w14:paraId="7D4EC76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（一）乙方编制该项目的环评报告表。</w:t>
      </w:r>
    </w:p>
    <w:p w14:paraId="280467D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（二）甲方应积极配合环境影响评价所需真实有效的基础资料，包括合法的立项批复、证明、 当地环境背景资料、生产工艺设备等，以支持乙方及时的完成报告的编制。甲方提供乙方所需资料时间为本合同生</w:t>
      </w:r>
      <w:r>
        <w:rPr>
          <w:rFonts w:hint="eastAsia" w:asciiTheme="minorEastAsia" w:hAnsiTheme="minorEastAsia" w:cstheme="minorEastAsia"/>
          <w:sz w:val="24"/>
          <w:szCs w:val="24"/>
          <w:highlight w:val="none"/>
          <w:u w:val="none"/>
          <w:lang w:val="en-US" w:eastAsia="zh-CN"/>
        </w:rPr>
        <w:t>效后</w:t>
      </w:r>
      <w:r>
        <w:rPr>
          <w:rFonts w:hint="eastAsia" w:asciiTheme="minorEastAsia" w:hAnsiTheme="minorEastAsia" w:cstheme="minorEastAsia"/>
          <w:sz w:val="24"/>
          <w:szCs w:val="24"/>
          <w:highlight w:val="none"/>
          <w:u w:val="single"/>
          <w:lang w:val="en-US" w:eastAsia="zh-CN"/>
        </w:rPr>
        <w:t xml:space="preserve"> 7 </w:t>
      </w:r>
      <w:r>
        <w:rPr>
          <w:rFonts w:hint="eastAsia" w:asciiTheme="minorEastAsia" w:hAnsiTheme="minorEastAsia" w:cstheme="minorEastAsia"/>
          <w:sz w:val="24"/>
          <w:szCs w:val="24"/>
          <w:highlight w:val="none"/>
          <w:u w:val="none"/>
          <w:lang w:val="en-US" w:eastAsia="zh-CN"/>
        </w:rPr>
        <w:t>日内，并对</w:t>
      </w:r>
      <w:r>
        <w:rPr>
          <w:rFonts w:hint="eastAsia" w:asciiTheme="minorEastAsia" w:hAnsiTheme="minorEastAsia" w:cstheme="minorEastAsia"/>
          <w:sz w:val="24"/>
          <w:szCs w:val="24"/>
          <w:u w:val="none"/>
          <w:lang w:val="en-US" w:eastAsia="zh-CN"/>
        </w:rPr>
        <w:t>所提供资料真实性负责。如因甲方原因未能及时提供基础资料导致服务受到拖延，乙方有义务将此情况和可能产生的影响通知甲方，同时乙方交付环评文件的时间顺延。</w:t>
      </w:r>
    </w:p>
    <w:p w14:paraId="69B0E77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三）乙方按要求提交经专家评审通过并取得生态环境局批复文件的环评报批件文本六份给甲方，如甲方需增加报批本数量，增加的部分甲方按照200元/本的工本费支付乙方。项目取得环评批复后，乙方把报告电子版提供给甲方。</w:t>
      </w:r>
    </w:p>
    <w:p w14:paraId="6F3100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（四）在合同履行期间，因甲方计划变更或其它原因需停止合同，甲方应根据乙方已开展的工作量支付乙方相应服务费用；因甲方选址、建设规模、内容、生产工艺等发生重大变更， 导致乙方重新编写的，甲方应补偿乙方相应服务费用。具体补偿事宜双方协商确定后签订补充协议。</w:t>
      </w:r>
    </w:p>
    <w:p w14:paraId="2E4B095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（五）合同生效后，乙方无故要求终止或解除合同，乙方应向甲方支付服务费的30%作为违约金。</w:t>
      </w:r>
    </w:p>
    <w:p w14:paraId="72EE847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（六）由于甲方未按期提交乙方书面通知要求准备的必须资料，影响环评进度或造成停工， 乙方不能按时提交环评成果的责任由甲方负责。</w:t>
      </w:r>
    </w:p>
    <w:p w14:paraId="1A7FFD0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（七）由于乙方自身原因延误环评成果交付时间或交付后未能审批通过或乙方交付成果存在任何问题，每逾期一天，承担合同金额的3%违约金；由于乙方原因中途停止或不执行合同， 甲方有权拒绝支付全部款项，且乙方应按照合同总金额的30%向甲方支付违约金。造成甲方损失的，还应承担甲方全部损失赔偿责任，甲方损失包括但不限于甲方为主张权利产生的诉讼费、保全费、保全保险费、律师费、公证费、差旅费等全部费用。</w:t>
      </w:r>
    </w:p>
    <w:p w14:paraId="594C88B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（八）乙方负责指导并协助甲方办理报件审批过程中涉及环评的相关事宜。</w:t>
      </w:r>
    </w:p>
    <w:p w14:paraId="561FE85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（九）乙方对甲方提供的资料应妥善保管，并尽保密之责任；在项目完结后，将甲方提供的 该项目资料原件全部返还。</w:t>
      </w:r>
    </w:p>
    <w:p w14:paraId="65B4B70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highlight w:val="none"/>
          <w:u w:val="none"/>
          <w:lang w:val="en-US" w:eastAsia="zh-CN"/>
        </w:rPr>
      </w:pPr>
      <w:r>
        <w:rPr>
          <w:rFonts w:hint="eastAsia" w:asciiTheme="minorEastAsia" w:hAnsiTheme="minorEastAsia" w:cstheme="minorEastAsia"/>
          <w:sz w:val="24"/>
          <w:szCs w:val="24"/>
          <w:u w:val="none"/>
          <w:lang w:val="en-US" w:eastAsia="zh-CN"/>
        </w:rPr>
        <w:t>（十）甲方超过合同约定期限没有按合同约定支付乙方费用，每逾期一天，甲方承担并支付</w:t>
      </w:r>
      <w:r>
        <w:rPr>
          <w:rFonts w:hint="eastAsia" w:asciiTheme="minorEastAsia" w:hAnsiTheme="minorEastAsia" w:cstheme="minorEastAsia"/>
          <w:sz w:val="24"/>
          <w:szCs w:val="24"/>
          <w:highlight w:val="none"/>
          <w:u w:val="none"/>
          <w:lang w:val="en-US" w:eastAsia="zh-CN"/>
        </w:rPr>
        <w:t>合同金额的3‰违约金。</w:t>
      </w:r>
    </w:p>
    <w:p w14:paraId="31D30547">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00" w:lineRule="exact"/>
        <w:ind w:firstLine="482" w:firstLineChars="200"/>
        <w:jc w:val="left"/>
        <w:textAlignment w:val="auto"/>
        <w:rPr>
          <w:rFonts w:hint="eastAsia" w:asciiTheme="minorEastAsia" w:hAnsiTheme="minorEastAsia" w:cstheme="minorEastAsia"/>
          <w:b/>
          <w:bCs/>
          <w:sz w:val="24"/>
          <w:szCs w:val="24"/>
          <w:highlight w:val="none"/>
          <w:u w:val="none"/>
          <w:lang w:val="en-US" w:eastAsia="zh-CN"/>
        </w:rPr>
      </w:pPr>
      <w:r>
        <w:rPr>
          <w:rFonts w:hint="eastAsia" w:asciiTheme="minorEastAsia" w:hAnsiTheme="minorEastAsia" w:cstheme="minorEastAsia"/>
          <w:b/>
          <w:bCs/>
          <w:sz w:val="24"/>
          <w:szCs w:val="24"/>
          <w:highlight w:val="none"/>
          <w:u w:val="none"/>
          <w:lang w:val="en-US" w:eastAsia="zh-CN"/>
        </w:rPr>
        <w:t>四、合同时限</w:t>
      </w:r>
    </w:p>
    <w:p w14:paraId="415C4E3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highlight w:val="none"/>
          <w:u w:val="none"/>
          <w:lang w:val="en-US" w:eastAsia="zh-CN"/>
        </w:rPr>
        <w:t>双方签订本合同后，甲方发出委托之日起，乙方须于30个工作日内完成</w:t>
      </w:r>
      <w:r>
        <w:rPr>
          <w:rFonts w:hint="eastAsia" w:asciiTheme="minorEastAsia" w:hAnsiTheme="minorEastAsia" w:cstheme="minorEastAsia"/>
          <w:sz w:val="24"/>
          <w:szCs w:val="24"/>
          <w:highlight w:val="none"/>
          <w:u w:val="none"/>
          <w:lang w:val="en-US" w:eastAsia="zh-CN"/>
        </w:rPr>
        <w:t>全部工作内容，具体安排如下：</w:t>
      </w:r>
      <w:r>
        <w:rPr>
          <w:rFonts w:hint="default" w:asciiTheme="minorEastAsia" w:hAnsiTheme="minorEastAsia" w:cstheme="minorEastAsia"/>
          <w:sz w:val="24"/>
          <w:szCs w:val="24"/>
          <w:highlight w:val="none"/>
          <w:u w:val="none"/>
          <w:lang w:val="en-US" w:eastAsia="zh-CN"/>
        </w:rPr>
        <w:t>乙方收到甲方提供的完备真实的基础资料之日起</w:t>
      </w:r>
      <w:r>
        <w:rPr>
          <w:rFonts w:hint="eastAsia" w:asciiTheme="minorEastAsia" w:hAnsiTheme="minorEastAsia" w:cstheme="minorEastAsia"/>
          <w:sz w:val="24"/>
          <w:szCs w:val="24"/>
          <w:highlight w:val="none"/>
          <w:u w:val="single"/>
          <w:lang w:val="en-US" w:eastAsia="zh-CN"/>
        </w:rPr>
        <w:t xml:space="preserve">  20 </w:t>
      </w:r>
      <w:r>
        <w:rPr>
          <w:rFonts w:hint="default" w:asciiTheme="minorEastAsia" w:hAnsiTheme="minorEastAsia" w:cstheme="minorEastAsia"/>
          <w:sz w:val="24"/>
          <w:szCs w:val="24"/>
          <w:highlight w:val="none"/>
          <w:u w:val="single"/>
          <w:lang w:val="en-US" w:eastAsia="zh-CN"/>
        </w:rPr>
        <w:t xml:space="preserve"> </w:t>
      </w:r>
      <w:r>
        <w:rPr>
          <w:rFonts w:hint="default" w:asciiTheme="minorEastAsia" w:hAnsiTheme="minorEastAsia" w:cstheme="minorEastAsia"/>
          <w:sz w:val="24"/>
          <w:szCs w:val="24"/>
          <w:highlight w:val="none"/>
          <w:u w:val="none"/>
          <w:lang w:val="en-US" w:eastAsia="zh-CN"/>
        </w:rPr>
        <w:t>个工作日内完成环评报告送审本， 专家评审会后</w:t>
      </w:r>
      <w:r>
        <w:rPr>
          <w:rFonts w:hint="eastAsia" w:asciiTheme="minorEastAsia" w:hAnsiTheme="minorEastAsia" w:cstheme="minorEastAsia"/>
          <w:sz w:val="24"/>
          <w:szCs w:val="24"/>
          <w:highlight w:val="none"/>
          <w:u w:val="single"/>
          <w:lang w:val="en-US" w:eastAsia="zh-CN"/>
        </w:rPr>
        <w:t xml:space="preserve">  7  </w:t>
      </w:r>
      <w:r>
        <w:rPr>
          <w:rFonts w:hint="default" w:asciiTheme="minorEastAsia" w:hAnsiTheme="minorEastAsia" w:cstheme="minorEastAsia"/>
          <w:sz w:val="24"/>
          <w:szCs w:val="24"/>
          <w:highlight w:val="none"/>
          <w:u w:val="none"/>
          <w:lang w:val="en-US" w:eastAsia="zh-CN"/>
        </w:rPr>
        <w:t>个工作日内(需补充监测以及其他支撑材料的时间另计)乙方修改完善环评报告</w:t>
      </w:r>
      <w:r>
        <w:rPr>
          <w:rFonts w:hint="eastAsia" w:asciiTheme="minorEastAsia" w:hAnsiTheme="minorEastAsia" w:cstheme="minorEastAsia"/>
          <w:sz w:val="24"/>
          <w:szCs w:val="24"/>
          <w:highlight w:val="none"/>
          <w:u w:val="none"/>
          <w:lang w:val="en-US" w:eastAsia="zh-CN"/>
        </w:rPr>
        <w:t>表</w:t>
      </w:r>
      <w:r>
        <w:rPr>
          <w:rFonts w:hint="default" w:asciiTheme="minorEastAsia" w:hAnsiTheme="minorEastAsia" w:cstheme="minorEastAsia"/>
          <w:sz w:val="24"/>
          <w:szCs w:val="24"/>
          <w:highlight w:val="none"/>
          <w:u w:val="none"/>
          <w:lang w:val="en-US" w:eastAsia="zh-CN"/>
        </w:rPr>
        <w:t>，并向甲方提交报批本环评报告</w:t>
      </w:r>
      <w:r>
        <w:rPr>
          <w:rFonts w:hint="eastAsia" w:asciiTheme="minorEastAsia" w:hAnsiTheme="minorEastAsia" w:cstheme="minorEastAsia"/>
          <w:sz w:val="24"/>
          <w:szCs w:val="24"/>
          <w:highlight w:val="none"/>
          <w:u w:val="none"/>
          <w:lang w:val="en-US" w:eastAsia="zh-CN"/>
        </w:rPr>
        <w:t>表</w:t>
      </w:r>
      <w:r>
        <w:rPr>
          <w:rFonts w:hint="default" w:asciiTheme="minorEastAsia" w:hAnsiTheme="minorEastAsia" w:cstheme="minorEastAsia"/>
          <w:sz w:val="24"/>
          <w:szCs w:val="24"/>
          <w:highlight w:val="none"/>
          <w:u w:val="none"/>
          <w:lang w:val="en-US" w:eastAsia="zh-CN"/>
        </w:rPr>
        <w:t>。在报告编制过程中，双方须及时</w:t>
      </w:r>
      <w:r>
        <w:rPr>
          <w:rFonts w:hint="default" w:asciiTheme="minorEastAsia" w:hAnsiTheme="minorEastAsia" w:cstheme="minorEastAsia"/>
          <w:sz w:val="24"/>
          <w:szCs w:val="24"/>
          <w:u w:val="none"/>
          <w:lang w:val="en-US" w:eastAsia="zh-CN"/>
        </w:rPr>
        <w:t>沟通与紧密合作</w:t>
      </w:r>
      <w:r>
        <w:rPr>
          <w:rFonts w:hint="eastAsia" w:asciiTheme="minorEastAsia" w:hAnsiTheme="minorEastAsia" w:cstheme="minorEastAsia"/>
          <w:sz w:val="24"/>
          <w:szCs w:val="24"/>
          <w:u w:val="none"/>
          <w:lang w:val="en-US" w:eastAsia="zh-CN"/>
        </w:rPr>
        <w:t>。</w:t>
      </w:r>
      <w:r>
        <w:rPr>
          <w:rFonts w:hint="default" w:asciiTheme="minorEastAsia" w:hAnsiTheme="minorEastAsia" w:cstheme="minorEastAsia"/>
          <w:sz w:val="24"/>
          <w:szCs w:val="24"/>
          <w:u w:val="none"/>
          <w:lang w:val="en-US" w:eastAsia="zh-CN"/>
        </w:rPr>
        <w:t xml:space="preserve"> </w:t>
      </w:r>
    </w:p>
    <w:p w14:paraId="226F00A3">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00" w:lineRule="exact"/>
        <w:ind w:firstLine="482" w:firstLineChars="200"/>
        <w:jc w:val="left"/>
        <w:textAlignment w:val="auto"/>
        <w:rPr>
          <w:rFonts w:hint="eastAsia" w:asciiTheme="minorEastAsia" w:hAnsiTheme="minorEastAsia" w:cstheme="minorEastAsia"/>
          <w:b/>
          <w:bCs/>
          <w:sz w:val="24"/>
          <w:szCs w:val="24"/>
          <w:u w:val="none"/>
          <w:lang w:val="en-US" w:eastAsia="zh-CN"/>
        </w:rPr>
      </w:pPr>
      <w:r>
        <w:rPr>
          <w:rFonts w:hint="eastAsia" w:asciiTheme="minorEastAsia" w:hAnsiTheme="minorEastAsia" w:cstheme="minorEastAsia"/>
          <w:b/>
          <w:bCs/>
          <w:sz w:val="24"/>
          <w:szCs w:val="24"/>
          <w:u w:val="none"/>
          <w:lang w:val="en-US" w:eastAsia="zh-CN"/>
        </w:rPr>
        <w:t>五、其他</w:t>
      </w:r>
    </w:p>
    <w:p w14:paraId="10FB009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（一）</w:t>
      </w:r>
      <w:r>
        <w:rPr>
          <w:rFonts w:hint="default" w:asciiTheme="minorEastAsia" w:hAnsiTheme="minorEastAsia" w:cstheme="minorEastAsia"/>
          <w:sz w:val="24"/>
          <w:szCs w:val="24"/>
          <w:u w:val="none"/>
          <w:lang w:val="en-US" w:eastAsia="zh-CN"/>
        </w:rPr>
        <w:t>因国家法律法规变化，引起咨询费用和评价内容的改变，双方可签订书面补充协议； 补充协议双方盖章后与本合同具有同等法律效力。</w:t>
      </w:r>
    </w:p>
    <w:p w14:paraId="331DDD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（二）</w:t>
      </w:r>
      <w:r>
        <w:rPr>
          <w:rFonts w:hint="default" w:asciiTheme="minorEastAsia" w:hAnsiTheme="minorEastAsia" w:cstheme="minorEastAsia"/>
          <w:sz w:val="24"/>
          <w:szCs w:val="24"/>
          <w:u w:val="none"/>
          <w:lang w:val="en-US" w:eastAsia="zh-CN"/>
        </w:rPr>
        <w:t>若本合同所述甲方投资、规模及工艺等发生变化，双方就环保主管部门审批权限、费用等事宜另行签订补充协议。补充协议双方盖章后与本合同具有同等法律效力。</w:t>
      </w:r>
    </w:p>
    <w:p w14:paraId="1CF1974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（三）</w:t>
      </w:r>
      <w:r>
        <w:rPr>
          <w:rFonts w:hint="default" w:asciiTheme="minorEastAsia" w:hAnsiTheme="minorEastAsia" w:cstheme="minorEastAsia"/>
          <w:sz w:val="24"/>
          <w:szCs w:val="24"/>
          <w:u w:val="none"/>
          <w:lang w:val="en-US" w:eastAsia="zh-CN"/>
        </w:rPr>
        <w:t>本合同一式</w:t>
      </w:r>
      <w:r>
        <w:rPr>
          <w:rFonts w:hint="eastAsia" w:asciiTheme="minorEastAsia" w:hAnsiTheme="minorEastAsia" w:cstheme="minorEastAsia"/>
          <w:sz w:val="24"/>
          <w:szCs w:val="24"/>
          <w:u w:val="single"/>
          <w:lang w:val="en-US" w:eastAsia="zh-CN"/>
        </w:rPr>
        <w:t xml:space="preserve">     </w:t>
      </w:r>
      <w:r>
        <w:rPr>
          <w:rFonts w:hint="default" w:asciiTheme="minorEastAsia" w:hAnsiTheme="minorEastAsia" w:cstheme="minorEastAsia"/>
          <w:sz w:val="24"/>
          <w:szCs w:val="24"/>
          <w:u w:val="none"/>
          <w:lang w:val="en-US" w:eastAsia="zh-CN"/>
        </w:rPr>
        <w:t>份，甲方</w:t>
      </w:r>
      <w:r>
        <w:rPr>
          <w:rFonts w:hint="eastAsia" w:asciiTheme="minorEastAsia" w:hAnsiTheme="minorEastAsia" w:cstheme="minorEastAsia"/>
          <w:sz w:val="24"/>
          <w:szCs w:val="24"/>
          <w:u w:val="single"/>
          <w:lang w:val="en-US" w:eastAsia="zh-CN"/>
        </w:rPr>
        <w:t xml:space="preserve">    </w:t>
      </w:r>
      <w:r>
        <w:rPr>
          <w:rFonts w:hint="default" w:asciiTheme="minorEastAsia" w:hAnsiTheme="minorEastAsia" w:cstheme="minorEastAsia"/>
          <w:sz w:val="24"/>
          <w:szCs w:val="24"/>
          <w:u w:val="none"/>
          <w:lang w:val="en-US" w:eastAsia="zh-CN"/>
        </w:rPr>
        <w:t>份、乙方</w:t>
      </w:r>
      <w:r>
        <w:rPr>
          <w:rFonts w:hint="eastAsia" w:asciiTheme="minorEastAsia" w:hAnsiTheme="minorEastAsia" w:cstheme="minorEastAsia"/>
          <w:sz w:val="24"/>
          <w:szCs w:val="24"/>
          <w:u w:val="single"/>
          <w:lang w:val="en-US" w:eastAsia="zh-CN"/>
        </w:rPr>
        <w:t xml:space="preserve">     </w:t>
      </w:r>
      <w:r>
        <w:rPr>
          <w:rFonts w:hint="default" w:asciiTheme="minorEastAsia" w:hAnsiTheme="minorEastAsia" w:cstheme="minorEastAsia"/>
          <w:sz w:val="24"/>
          <w:szCs w:val="24"/>
          <w:u w:val="none"/>
          <w:lang w:val="en-US" w:eastAsia="zh-CN"/>
        </w:rPr>
        <w:t>份。合同经双方盖章后生效，具有同等法律效力。乙方将审批过的环评文件(报批本)及批复提交给甲方，甲方支付乙方剩余全部尾 款之日终止。</w:t>
      </w:r>
    </w:p>
    <w:p w14:paraId="457D4CC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（四）</w:t>
      </w:r>
      <w:r>
        <w:rPr>
          <w:rFonts w:hint="default" w:asciiTheme="minorEastAsia" w:hAnsiTheme="minorEastAsia" w:cstheme="minorEastAsia"/>
          <w:sz w:val="24"/>
          <w:szCs w:val="24"/>
          <w:u w:val="none"/>
          <w:lang w:val="en-US" w:eastAsia="zh-CN"/>
        </w:rPr>
        <w:t>甲方全权委托乙方负责甲方项目的报批及批复文件领取。</w:t>
      </w:r>
    </w:p>
    <w:p w14:paraId="3D28F6F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（五）</w:t>
      </w:r>
      <w:r>
        <w:rPr>
          <w:rFonts w:hint="default" w:asciiTheme="minorEastAsia" w:hAnsiTheme="minorEastAsia" w:cstheme="minorEastAsia"/>
          <w:sz w:val="24"/>
          <w:szCs w:val="24"/>
          <w:u w:val="none"/>
          <w:lang w:val="en-US" w:eastAsia="zh-CN"/>
        </w:rPr>
        <w:t>未尽事宜，可由当事人双方附页另行约定，并可作为本合同的组成部分。</w:t>
      </w:r>
    </w:p>
    <w:p w14:paraId="49A7F0E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（六）</w:t>
      </w:r>
      <w:r>
        <w:rPr>
          <w:rFonts w:hint="default" w:asciiTheme="minorEastAsia" w:hAnsiTheme="minorEastAsia" w:cstheme="minorEastAsia"/>
          <w:sz w:val="24"/>
          <w:szCs w:val="24"/>
          <w:u w:val="none"/>
          <w:lang w:val="en-US" w:eastAsia="zh-CN"/>
        </w:rPr>
        <w:t>合同书一经签订，甲乙双方均负有合同的法律责任，在执行过程中发生争议或涉及本合同书以外的内容时，双方按有关政策进行友好协商，共同解决。如果不愿意协商</w:t>
      </w:r>
      <w:r>
        <w:rPr>
          <w:rFonts w:hint="eastAsia" w:asciiTheme="minorEastAsia" w:hAnsiTheme="minorEastAsia" w:cstheme="minorEastAsia"/>
          <w:sz w:val="24"/>
          <w:szCs w:val="24"/>
          <w:u w:val="none"/>
          <w:lang w:val="en-US" w:eastAsia="zh-CN"/>
        </w:rPr>
        <w:t>、</w:t>
      </w:r>
      <w:r>
        <w:rPr>
          <w:rFonts w:hint="default" w:asciiTheme="minorEastAsia" w:hAnsiTheme="minorEastAsia" w:cstheme="minorEastAsia"/>
          <w:sz w:val="24"/>
          <w:szCs w:val="24"/>
          <w:u w:val="none"/>
          <w:lang w:val="en-US" w:eastAsia="zh-CN"/>
        </w:rPr>
        <w:t>调解解决或者调解不成的，任何一方可向甲方所在地人民法院提起诉讼。因诉讼而发生的律师费、差旅费、诉讼费、保全费、保全保险费、公证费等，由败诉方承担全部费用。</w:t>
      </w:r>
    </w:p>
    <w:p w14:paraId="4EF8BEE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(本页以下无正文)</w:t>
      </w:r>
    </w:p>
    <w:p w14:paraId="5879D75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default" w:asciiTheme="minorEastAsia" w:hAnsiTheme="minorEastAsia" w:cstheme="minorEastAsia"/>
          <w:sz w:val="24"/>
          <w:szCs w:val="24"/>
          <w:u w:val="none"/>
          <w:lang w:val="en-US" w:eastAsia="zh-CN"/>
        </w:rPr>
      </w:pPr>
    </w:p>
    <w:p w14:paraId="7D0D2FF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default" w:asciiTheme="minorEastAsia" w:hAnsiTheme="minorEastAsia" w:cstheme="minorEastAsia"/>
          <w:sz w:val="24"/>
          <w:szCs w:val="24"/>
          <w:u w:val="none"/>
          <w:lang w:val="en-US" w:eastAsia="zh-CN"/>
        </w:rPr>
      </w:pPr>
    </w:p>
    <w:p w14:paraId="45007C3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(签署页)</w:t>
      </w:r>
    </w:p>
    <w:p w14:paraId="7A98DE74">
      <w:pPr>
        <w:spacing w:line="166" w:lineRule="exact"/>
      </w:pPr>
    </w:p>
    <w:tbl>
      <w:tblPr>
        <w:tblStyle w:val="6"/>
        <w:tblW w:w="9439" w:type="dxa"/>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90"/>
        <w:gridCol w:w="4949"/>
      </w:tblGrid>
      <w:tr w14:paraId="08BD1E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4490" w:type="dxa"/>
            <w:vAlign w:val="top"/>
          </w:tcPr>
          <w:p w14:paraId="37FFFF7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甲 方</w:t>
            </w:r>
          </w:p>
        </w:tc>
        <w:tc>
          <w:tcPr>
            <w:tcW w:w="4949" w:type="dxa"/>
            <w:vAlign w:val="top"/>
          </w:tcPr>
          <w:p w14:paraId="60E93FB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乙  方</w:t>
            </w:r>
          </w:p>
        </w:tc>
      </w:tr>
      <w:tr w14:paraId="4C1D8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4490" w:type="dxa"/>
            <w:vAlign w:val="top"/>
          </w:tcPr>
          <w:p w14:paraId="5895D6A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单位名称(签章):</w:t>
            </w:r>
          </w:p>
          <w:p w14:paraId="583459F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p>
          <w:p w14:paraId="02D98EF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 xml:space="preserve"> </w:t>
            </w:r>
          </w:p>
        </w:tc>
        <w:tc>
          <w:tcPr>
            <w:tcW w:w="4949" w:type="dxa"/>
            <w:vAlign w:val="top"/>
          </w:tcPr>
          <w:p w14:paraId="11884E6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单位名称(盖章):</w:t>
            </w:r>
          </w:p>
          <w:p w14:paraId="2252171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p>
        </w:tc>
      </w:tr>
      <w:tr w14:paraId="7D494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4490" w:type="dxa"/>
            <w:vAlign w:val="top"/>
          </w:tcPr>
          <w:p w14:paraId="31FFB1B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法定代表人：</w:t>
            </w:r>
          </w:p>
        </w:tc>
        <w:tc>
          <w:tcPr>
            <w:tcW w:w="4949" w:type="dxa"/>
            <w:vAlign w:val="top"/>
          </w:tcPr>
          <w:p w14:paraId="0FAFDAE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法定代表人：</w:t>
            </w:r>
          </w:p>
        </w:tc>
      </w:tr>
      <w:tr w14:paraId="5872FE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4490" w:type="dxa"/>
            <w:vAlign w:val="top"/>
          </w:tcPr>
          <w:p w14:paraId="61DCDC0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委托代理人：</w:t>
            </w:r>
          </w:p>
        </w:tc>
        <w:tc>
          <w:tcPr>
            <w:tcW w:w="4949" w:type="dxa"/>
            <w:vAlign w:val="top"/>
          </w:tcPr>
          <w:p w14:paraId="59CDE7D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委托代理人：</w:t>
            </w:r>
          </w:p>
        </w:tc>
      </w:tr>
      <w:tr w14:paraId="459F5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4490" w:type="dxa"/>
            <w:vAlign w:val="top"/>
          </w:tcPr>
          <w:p w14:paraId="1F5F610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地址：</w:t>
            </w:r>
          </w:p>
        </w:tc>
        <w:tc>
          <w:tcPr>
            <w:tcW w:w="4949" w:type="dxa"/>
            <w:vAlign w:val="top"/>
          </w:tcPr>
          <w:p w14:paraId="0342902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地址：</w:t>
            </w:r>
          </w:p>
        </w:tc>
      </w:tr>
      <w:tr w14:paraId="4C1AF1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6" w:hRule="atLeast"/>
        </w:trPr>
        <w:tc>
          <w:tcPr>
            <w:tcW w:w="4490" w:type="dxa"/>
            <w:vAlign w:val="top"/>
          </w:tcPr>
          <w:p w14:paraId="7BF667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p>
        </w:tc>
        <w:tc>
          <w:tcPr>
            <w:tcW w:w="4949" w:type="dxa"/>
            <w:vAlign w:val="top"/>
          </w:tcPr>
          <w:p w14:paraId="78CC998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对公账户：</w:t>
            </w:r>
          </w:p>
          <w:p w14:paraId="34A0D56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开户单位：</w:t>
            </w:r>
          </w:p>
          <w:p w14:paraId="41A8D89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开户行：</w:t>
            </w:r>
          </w:p>
          <w:p w14:paraId="4F4A949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帐号：</w:t>
            </w:r>
          </w:p>
          <w:p w14:paraId="3B4A187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联系电话：</w:t>
            </w:r>
          </w:p>
        </w:tc>
      </w:tr>
      <w:tr w14:paraId="1A04E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4490" w:type="dxa"/>
            <w:vAlign w:val="top"/>
          </w:tcPr>
          <w:p w14:paraId="1F528230">
            <w:pPr>
              <w:pStyle w:val="5"/>
              <w:spacing w:before="143" w:line="221" w:lineRule="auto"/>
              <w:ind w:left="95"/>
            </w:pPr>
            <w:r>
              <w:t>电话：</w:t>
            </w:r>
          </w:p>
        </w:tc>
        <w:tc>
          <w:tcPr>
            <w:tcW w:w="4949" w:type="dxa"/>
            <w:vAlign w:val="top"/>
          </w:tcPr>
          <w:p w14:paraId="5226A5E0">
            <w:pPr>
              <w:pStyle w:val="5"/>
              <w:spacing w:before="143" w:line="221" w:lineRule="auto"/>
              <w:ind w:left="145"/>
            </w:pPr>
            <w:r>
              <w:rPr>
                <w:spacing w:val="-2"/>
                <w:position w:val="1"/>
              </w:rPr>
              <w:t>电话：</w:t>
            </w:r>
            <w:r>
              <w:rPr>
                <w:spacing w:val="55"/>
                <w:position w:val="1"/>
              </w:rPr>
              <w:t xml:space="preserve">  </w:t>
            </w:r>
          </w:p>
        </w:tc>
      </w:tr>
      <w:tr w14:paraId="5C778D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4490" w:type="dxa"/>
            <w:vAlign w:val="top"/>
          </w:tcPr>
          <w:p w14:paraId="5D947B69">
            <w:pPr>
              <w:pStyle w:val="5"/>
              <w:spacing w:before="178" w:line="229" w:lineRule="auto"/>
              <w:ind w:left="95"/>
            </w:pPr>
            <w:r>
              <w:rPr>
                <w:spacing w:val="-4"/>
                <w:position w:val="-1"/>
              </w:rPr>
              <w:t>签约日期：</w:t>
            </w:r>
            <w:r>
              <w:rPr>
                <w:spacing w:val="31"/>
                <w:position w:val="-1"/>
              </w:rPr>
              <w:t xml:space="preserve"> </w:t>
            </w:r>
            <w:r>
              <w:rPr>
                <w:rFonts w:hint="eastAsia"/>
                <w:spacing w:val="31"/>
                <w:position w:val="-1"/>
                <w:lang w:val="en-US" w:eastAsia="zh-CN"/>
              </w:rPr>
              <w:t xml:space="preserve"> </w:t>
            </w:r>
            <w:r>
              <w:rPr>
                <w:spacing w:val="31"/>
                <w:position w:val="-1"/>
              </w:rPr>
              <w:t xml:space="preserve">  </w:t>
            </w:r>
            <w:r>
              <w:rPr>
                <w:spacing w:val="-4"/>
                <w:position w:val="2"/>
              </w:rPr>
              <w:t>年</w:t>
            </w:r>
            <w:r>
              <w:rPr>
                <w:spacing w:val="24"/>
                <w:position w:val="2"/>
              </w:rPr>
              <w:t xml:space="preserve">    </w:t>
            </w:r>
            <w:r>
              <w:rPr>
                <w:spacing w:val="-4"/>
                <w:position w:val="2"/>
              </w:rPr>
              <w:t>月</w:t>
            </w:r>
            <w:r>
              <w:rPr>
                <w:spacing w:val="10"/>
                <w:position w:val="2"/>
              </w:rPr>
              <w:t xml:space="preserve">     </w:t>
            </w:r>
            <w:r>
              <w:rPr>
                <w:spacing w:val="-4"/>
                <w:position w:val="2"/>
              </w:rPr>
              <w:t>日</w:t>
            </w:r>
          </w:p>
        </w:tc>
        <w:tc>
          <w:tcPr>
            <w:tcW w:w="4949" w:type="dxa"/>
            <w:vAlign w:val="top"/>
          </w:tcPr>
          <w:p w14:paraId="64E4B99C">
            <w:pPr>
              <w:pStyle w:val="5"/>
              <w:spacing w:before="178" w:line="229" w:lineRule="auto"/>
              <w:ind w:left="145"/>
            </w:pPr>
            <w:r>
              <w:rPr>
                <w:spacing w:val="-4"/>
                <w:position w:val="-1"/>
              </w:rPr>
              <w:t>签约日期：</w:t>
            </w:r>
            <w:r>
              <w:rPr>
                <w:spacing w:val="18"/>
                <w:position w:val="-1"/>
              </w:rPr>
              <w:t xml:space="preserve">  </w:t>
            </w:r>
            <w:r>
              <w:rPr>
                <w:rFonts w:hint="eastAsia"/>
                <w:spacing w:val="18"/>
                <w:position w:val="-1"/>
                <w:lang w:val="en-US" w:eastAsia="zh-CN"/>
              </w:rPr>
              <w:t xml:space="preserve"> </w:t>
            </w:r>
            <w:r>
              <w:rPr>
                <w:spacing w:val="18"/>
                <w:position w:val="-1"/>
              </w:rPr>
              <w:t xml:space="preserve"> </w:t>
            </w:r>
            <w:r>
              <w:rPr>
                <w:spacing w:val="-4"/>
                <w:position w:val="2"/>
              </w:rPr>
              <w:t>年</w:t>
            </w:r>
            <w:r>
              <w:rPr>
                <w:spacing w:val="12"/>
                <w:position w:val="2"/>
              </w:rPr>
              <w:t xml:space="preserve">     </w:t>
            </w:r>
            <w:r>
              <w:rPr>
                <w:spacing w:val="-4"/>
                <w:position w:val="2"/>
              </w:rPr>
              <w:t>月</w:t>
            </w:r>
            <w:r>
              <w:rPr>
                <w:spacing w:val="20"/>
                <w:position w:val="2"/>
              </w:rPr>
              <w:t xml:space="preserve">    </w:t>
            </w:r>
            <w:r>
              <w:rPr>
                <w:spacing w:val="-4"/>
                <w:position w:val="2"/>
              </w:rPr>
              <w:t>日</w:t>
            </w:r>
          </w:p>
        </w:tc>
      </w:tr>
    </w:tbl>
    <w:p w14:paraId="5C4F0D5E">
      <w:pPr>
        <w:pStyle w:val="2"/>
      </w:pPr>
    </w:p>
    <w:p w14:paraId="5C56564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default" w:asciiTheme="minorEastAsia" w:hAnsiTheme="minorEastAsia" w:cstheme="minorEastAsia"/>
          <w:sz w:val="24"/>
          <w:szCs w:val="24"/>
          <w:u w:val="none"/>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AC6270"/>
    <w:rsid w:val="02754170"/>
    <w:rsid w:val="134213A8"/>
    <w:rsid w:val="16F04D2D"/>
    <w:rsid w:val="24E72569"/>
    <w:rsid w:val="2E8D23D3"/>
    <w:rsid w:val="50AC6270"/>
    <w:rsid w:val="515F138F"/>
    <w:rsid w:val="609868E2"/>
    <w:rsid w:val="752413C6"/>
    <w:rsid w:val="75AC2C45"/>
    <w:rsid w:val="75C66DBB"/>
    <w:rsid w:val="7B271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customStyle="1" w:styleId="5">
    <w:name w:val="Table Text"/>
    <w:basedOn w:val="1"/>
    <w:semiHidden/>
    <w:qFormat/>
    <w:uiPriority w:val="0"/>
    <w:rPr>
      <w:rFonts w:ascii="宋体" w:hAnsi="宋体" w:eastAsia="宋体" w:cs="宋体"/>
      <w:sz w:val="24"/>
      <w:szCs w:val="24"/>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2453</Words>
  <Characters>2468</Characters>
  <Lines>0</Lines>
  <Paragraphs>0</Paragraphs>
  <TotalTime>2</TotalTime>
  <ScaleCrop>false</ScaleCrop>
  <LinksUpToDate>false</LinksUpToDate>
  <CharactersWithSpaces>2758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2025-03-03T01:51:00Z</dcterms:created>
  <dc:creator>凸^-^凸</dc:creator>
  <cp:lastModifiedBy>windows</cp:lastModifiedBy>
  <dcterms:modified xsi:type="dcterms:W3CDTF">2025-04-08T03:39:14Z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BBD3EA05A0F1416EAEF40AD72DA0734C_11</vt:lpwstr>
  </property>
  <property fmtid="{D5CDD505-2E9C-101B-9397-08002B2CF9AE}" pid="4" name="KSOTemplateDocerSaveRecord">
    <vt:lpwstr>eyJoZGlkIjoiMGI0OGE5MTEyNTFlYzFkMGM2MTFkZDQ5MzE2YmQ1MDkiLCJ1c2VySWQiOiI3NjM4MDgwMjcifQ==</vt:lpwstr>
  </property>
</Properties>
</file>